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hd w:val="clear" w:color="auto" w:fill="auto"/>
        <w:spacing w:before="257" w:after="151" w:line="360" w:lineRule="auto"/>
        <w:ind w:right="140" w:firstLine="562"/>
        <w:rPr>
          <w:rFonts w:ascii="Times New Roman" w:hAnsi="Times New Roman" w:eastAsia="黑体"/>
          <w:b/>
          <w:sz w:val="28"/>
          <w:szCs w:val="28"/>
        </w:rPr>
      </w:pPr>
      <w:r>
        <w:rPr>
          <w:rFonts w:hint="eastAsia" w:ascii="Times New Roman" w:hAnsi="Times New Roman" w:eastAsia="黑体"/>
          <w:b/>
          <w:sz w:val="28"/>
          <w:szCs w:val="28"/>
        </w:rPr>
        <w:t>伦理审查申请</w:t>
      </w:r>
      <w:r>
        <w:rPr>
          <w:rFonts w:ascii="Times New Roman" w:hAnsi="Times New Roman" w:eastAsia="黑体"/>
          <w:b/>
          <w:sz w:val="28"/>
          <w:szCs w:val="28"/>
        </w:rPr>
        <w:t>/</w:t>
      </w:r>
      <w:r>
        <w:rPr>
          <w:rFonts w:hint="eastAsia" w:ascii="Times New Roman" w:hAnsi="Times New Roman" w:eastAsia="黑体"/>
          <w:b/>
          <w:sz w:val="28"/>
          <w:szCs w:val="28"/>
        </w:rPr>
        <w:t>报告指南</w:t>
      </w:r>
    </w:p>
    <w:p>
      <w:pPr>
        <w:pStyle w:val="15"/>
        <w:shd w:val="clear" w:color="auto" w:fill="auto"/>
        <w:spacing w:before="0" w:line="360" w:lineRule="auto"/>
        <w:ind w:left="120" w:right="320" w:firstLine="480"/>
        <w:jc w:val="left"/>
        <w:rPr>
          <w:rFonts w:ascii="Times New Roman" w:hAnsi="Times New Roman" w:eastAsiaTheme="minorEastAsia"/>
          <w:sz w:val="24"/>
          <w:szCs w:val="24"/>
        </w:rPr>
      </w:pPr>
      <w:r>
        <w:rPr>
          <w:rFonts w:hint="eastAsia" w:ascii="Times New Roman" w:hAnsi="Times New Roman" w:eastAsiaTheme="minorEastAsia"/>
          <w:sz w:val="24"/>
          <w:szCs w:val="24"/>
        </w:rPr>
        <w:t>为指导主要研究者</w:t>
      </w:r>
      <w:r>
        <w:rPr>
          <w:rStyle w:val="16"/>
          <w:rFonts w:hint="eastAsia" w:ascii="Times New Roman" w:hAnsi="Times New Roman" w:eastAsiaTheme="minorEastAsia"/>
          <w:sz w:val="24"/>
          <w:szCs w:val="24"/>
          <w:lang w:val="zh-TW"/>
        </w:rPr>
        <w:t>、</w:t>
      </w:r>
      <w:r>
        <w:rPr>
          <w:rFonts w:hint="eastAsia" w:ascii="Times New Roman" w:hAnsi="Times New Roman" w:eastAsiaTheme="minorEastAsia"/>
          <w:sz w:val="24"/>
          <w:szCs w:val="24"/>
        </w:rPr>
        <w:t>申办者等提交药物临床试验项</w:t>
      </w:r>
      <w:bookmarkStart w:id="2" w:name="_GoBack"/>
      <w:bookmarkEnd w:id="2"/>
      <w:r>
        <w:rPr>
          <w:rFonts w:hint="eastAsia" w:ascii="Times New Roman" w:hAnsi="Times New Roman" w:eastAsiaTheme="minorEastAsia"/>
          <w:sz w:val="24"/>
          <w:szCs w:val="24"/>
        </w:rPr>
        <w:t>目</w:t>
      </w:r>
      <w:r>
        <w:rPr>
          <w:rStyle w:val="16"/>
          <w:rFonts w:hint="eastAsia" w:ascii="Times New Roman" w:hAnsi="Times New Roman" w:eastAsiaTheme="minorEastAsia"/>
          <w:sz w:val="24"/>
          <w:szCs w:val="24"/>
          <w:lang w:val="zh-TW"/>
        </w:rPr>
        <w:t>、</w:t>
      </w:r>
      <w:r>
        <w:rPr>
          <w:rFonts w:hint="eastAsia" w:ascii="Times New Roman" w:hAnsi="Times New Roman" w:eastAsiaTheme="minorEastAsia"/>
          <w:sz w:val="24"/>
          <w:szCs w:val="24"/>
        </w:rPr>
        <w:t>医疗器械临床试验项目、科研项目、医疗新技术新项目等的伦理审查申请</w:t>
      </w:r>
      <w:r>
        <w:rPr>
          <w:rStyle w:val="16"/>
          <w:rFonts w:ascii="Times New Roman" w:hAnsi="Times New Roman" w:eastAsiaTheme="minorEastAsia"/>
          <w:sz w:val="24"/>
          <w:szCs w:val="24"/>
          <w:lang w:val="zh-TW"/>
        </w:rPr>
        <w:t>/</w:t>
      </w:r>
      <w:r>
        <w:rPr>
          <w:rFonts w:hint="eastAsia" w:ascii="Times New Roman" w:hAnsi="Times New Roman" w:eastAsiaTheme="minorEastAsia"/>
          <w:sz w:val="24"/>
          <w:szCs w:val="24"/>
        </w:rPr>
        <w:t>报告，特制定本指南。</w:t>
      </w:r>
    </w:p>
    <w:p>
      <w:pPr>
        <w:ind w:firstLine="482"/>
        <w:rPr>
          <w:rFonts w:ascii="Times New Roman" w:hAnsi="Times New Roman" w:eastAsiaTheme="minorEastAsia"/>
          <w:b/>
          <w:sz w:val="24"/>
        </w:rPr>
      </w:pPr>
      <w:bookmarkStart w:id="0" w:name="bookmark5"/>
      <w:r>
        <w:rPr>
          <w:rFonts w:hint="eastAsia" w:ascii="Times New Roman" w:hAnsi="Times New Roman" w:eastAsiaTheme="minorEastAsia"/>
          <w:b/>
          <w:sz w:val="24"/>
        </w:rPr>
        <w:t>一、提交伦理审查的研究项目范围</w:t>
      </w:r>
      <w:bookmarkEnd w:id="0"/>
    </w:p>
    <w:p>
      <w:pPr>
        <w:pStyle w:val="15"/>
        <w:shd w:val="clear" w:color="auto" w:fill="auto"/>
        <w:spacing w:before="0" w:line="360" w:lineRule="auto"/>
        <w:ind w:left="120" w:right="320" w:firstLine="480"/>
        <w:jc w:val="left"/>
        <w:rPr>
          <w:rFonts w:ascii="Times New Roman" w:hAnsi="Times New Roman" w:eastAsiaTheme="minorEastAsia"/>
          <w:sz w:val="24"/>
          <w:szCs w:val="24"/>
        </w:rPr>
      </w:pPr>
      <w:r>
        <w:rPr>
          <w:rFonts w:hint="eastAsia" w:ascii="Times New Roman" w:hAnsi="Times New Roman" w:eastAsiaTheme="minorEastAsia"/>
          <w:sz w:val="24"/>
          <w:szCs w:val="24"/>
        </w:rPr>
        <w:t>药物临床试验项目、医疗器械临床试验项目、科研项目、医疗新技术新项目等，均应根据本指南提交伦理审查申请</w:t>
      </w:r>
      <w:r>
        <w:rPr>
          <w:rFonts w:ascii="Times New Roman" w:hAnsi="Times New Roman" w:eastAsiaTheme="minorEastAsia"/>
          <w:sz w:val="24"/>
          <w:szCs w:val="24"/>
        </w:rPr>
        <w:t>/</w:t>
      </w:r>
      <w:r>
        <w:rPr>
          <w:rFonts w:hint="eastAsia" w:ascii="Times New Roman" w:hAnsi="Times New Roman" w:eastAsiaTheme="minorEastAsia"/>
          <w:sz w:val="24"/>
          <w:szCs w:val="24"/>
        </w:rPr>
        <w:t>报告。</w:t>
      </w:r>
    </w:p>
    <w:p>
      <w:pPr>
        <w:pStyle w:val="30"/>
        <w:numPr>
          <w:ilvl w:val="0"/>
          <w:numId w:val="1"/>
        </w:numPr>
        <w:ind w:firstLineChars="0"/>
        <w:rPr>
          <w:rFonts w:ascii="Times New Roman" w:hAnsi="Times New Roman" w:eastAsiaTheme="minorEastAsia"/>
          <w:b/>
          <w:sz w:val="24"/>
        </w:rPr>
      </w:pPr>
      <w:bookmarkStart w:id="1" w:name="bookmark6"/>
      <w:r>
        <w:rPr>
          <w:rFonts w:hint="eastAsia" w:ascii="Times New Roman" w:hAnsi="Times New Roman" w:eastAsiaTheme="minorEastAsia"/>
          <w:b/>
          <w:sz w:val="24"/>
        </w:rPr>
        <w:t>伦理审查申请</w:t>
      </w:r>
      <w:r>
        <w:rPr>
          <w:rFonts w:ascii="Times New Roman" w:hAnsi="Times New Roman" w:eastAsiaTheme="minorEastAsia"/>
          <w:b/>
          <w:sz w:val="24"/>
        </w:rPr>
        <w:t>/</w:t>
      </w:r>
      <w:r>
        <w:rPr>
          <w:rFonts w:hint="eastAsia" w:ascii="Times New Roman" w:hAnsi="Times New Roman" w:eastAsiaTheme="minorEastAsia"/>
          <w:b/>
          <w:sz w:val="24"/>
        </w:rPr>
        <w:t>报告的类别</w:t>
      </w:r>
      <w:bookmarkEnd w:id="1"/>
    </w:p>
    <w:p>
      <w:pPr>
        <w:pStyle w:val="15"/>
        <w:numPr>
          <w:ilvl w:val="0"/>
          <w:numId w:val="2"/>
        </w:numPr>
        <w:shd w:val="clear" w:color="auto" w:fill="auto"/>
        <w:spacing w:before="0" w:line="360" w:lineRule="auto"/>
        <w:ind w:firstLineChars="0"/>
        <w:jc w:val="both"/>
        <w:rPr>
          <w:rFonts w:ascii="Times New Roman" w:hAnsi="Times New Roman" w:eastAsiaTheme="minorEastAsia"/>
          <w:sz w:val="24"/>
          <w:szCs w:val="24"/>
        </w:rPr>
      </w:pPr>
      <w:r>
        <w:rPr>
          <w:rFonts w:hint="eastAsia" w:ascii="Times New Roman" w:hAnsi="Times New Roman" w:eastAsiaTheme="minorEastAsia"/>
          <w:sz w:val="24"/>
          <w:szCs w:val="24"/>
        </w:rPr>
        <w:t>初始审查</w:t>
      </w:r>
    </w:p>
    <w:p>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初始审查申请：符合上述范围的研究项目，应在研究开始前提交伦理审查申请，经批准后方可实施。“初始审查申请”是指首次向伦理委员会提交的审查申请。</w:t>
      </w:r>
    </w:p>
    <w:p>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我院牵头的药物临床试验项目、国际多中心临床试验项目、新药Ⅰ期临床试验项目等暂未获得国家药品监督管理局审批意见的，可递交前置伦理审查申请。提交前置伦理审查的项目，在获得伦理审查委员会意见前，即使获得了NMPA临床试验通知书，也必须按照前置伦理审查流程完成相应的审查，不得撤回前置伦理申请和重新按一般项目方式进行伦理审查。若</w:t>
      </w:r>
      <w:r>
        <w:rPr>
          <w:rFonts w:ascii="Times New Roman" w:hAnsi="Times New Roman" w:eastAsiaTheme="minorEastAsia"/>
          <w:sz w:val="24"/>
        </w:rPr>
        <w:t>NMPA</w:t>
      </w:r>
      <w:r>
        <w:rPr>
          <w:rFonts w:hint="eastAsia" w:ascii="Times New Roman" w:hAnsi="Times New Roman" w:eastAsiaTheme="minorEastAsia"/>
          <w:sz w:val="24"/>
        </w:rPr>
        <w:t>要求临床试验方案修订，则需要提起伦理修正案申请，按修正案进行审查，重新获得伦理委员会批准后，方可开展临床试验。</w:t>
      </w:r>
    </w:p>
    <w:p>
      <w:pPr>
        <w:pStyle w:val="15"/>
        <w:numPr>
          <w:ilvl w:val="0"/>
          <w:numId w:val="2"/>
        </w:numPr>
        <w:shd w:val="clear" w:color="auto" w:fill="auto"/>
        <w:spacing w:before="0" w:line="360" w:lineRule="auto"/>
        <w:ind w:firstLineChars="0"/>
        <w:jc w:val="both"/>
        <w:rPr>
          <w:rFonts w:ascii="Times New Roman" w:hAnsi="Times New Roman" w:eastAsiaTheme="minorEastAsia"/>
          <w:sz w:val="24"/>
          <w:szCs w:val="24"/>
        </w:rPr>
      </w:pPr>
      <w:r>
        <w:rPr>
          <w:rFonts w:hint="eastAsia" w:ascii="Times New Roman" w:hAnsi="Times New Roman" w:eastAsiaTheme="minorEastAsia"/>
          <w:sz w:val="24"/>
          <w:szCs w:val="24"/>
        </w:rPr>
        <w:t>跟踪审查</w:t>
      </w:r>
    </w:p>
    <w:p>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修正案审查申请：研究过程中若变更主要研究者，对临床研究方案、知情同意书、招募材料、研究者手册、提供给受试者的其他书面资料等文件的任何修改，应向伦理委员会提交修正案审査申请，经批准后执行。为避免研究对受试者的即刻危险，研究者可在伦理委员会批准前修改研究方案，事后应将修改研究方案的情况及原因，以“修正案审查申请”的方式及时提交伦理委员会审查。</w:t>
      </w:r>
    </w:p>
    <w:p>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研究进展报告：应按照伦理审查批件</w:t>
      </w:r>
      <w:r>
        <w:rPr>
          <w:rFonts w:ascii="Times New Roman" w:hAnsi="Times New Roman" w:eastAsiaTheme="minorEastAsia"/>
          <w:sz w:val="24"/>
        </w:rPr>
        <w:t>/</w:t>
      </w:r>
      <w:r>
        <w:rPr>
          <w:rFonts w:hint="eastAsia" w:ascii="Times New Roman" w:hAnsi="Times New Roman" w:eastAsiaTheme="minorEastAsia"/>
          <w:sz w:val="24"/>
        </w:rPr>
        <w:t>意见规定的年度</w:t>
      </w:r>
      <w:r>
        <w:rPr>
          <w:rFonts w:ascii="Times New Roman" w:hAnsi="Times New Roman" w:eastAsiaTheme="minorEastAsia"/>
          <w:sz w:val="24"/>
        </w:rPr>
        <w:t>/</w:t>
      </w:r>
      <w:r>
        <w:rPr>
          <w:rFonts w:hint="eastAsia" w:ascii="Times New Roman" w:hAnsi="Times New Roman" w:eastAsiaTheme="minorEastAsia"/>
          <w:sz w:val="24"/>
        </w:rPr>
        <w:t>定期跟踪审查频率，</w:t>
      </w:r>
      <w:r>
        <w:rPr>
          <w:rFonts w:hint="eastAsia" w:ascii="Times New Roman" w:hAnsi="Times New Roman" w:eastAsiaTheme="minorEastAsia"/>
          <w:b/>
          <w:bCs/>
          <w:sz w:val="24"/>
        </w:rPr>
        <w:t>在截止日期前</w:t>
      </w:r>
      <w:r>
        <w:rPr>
          <w:rFonts w:ascii="Times New Roman" w:hAnsi="Times New Roman" w:eastAsiaTheme="minorEastAsia"/>
          <w:b/>
          <w:bCs/>
          <w:sz w:val="24"/>
        </w:rPr>
        <w:t>1</w:t>
      </w:r>
      <w:r>
        <w:rPr>
          <w:rFonts w:hint="eastAsia" w:ascii="Times New Roman" w:hAnsi="Times New Roman" w:eastAsiaTheme="minorEastAsia"/>
          <w:b/>
          <w:bCs/>
          <w:sz w:val="24"/>
        </w:rPr>
        <w:t>个月提交研究进展报告</w:t>
      </w:r>
      <w:r>
        <w:rPr>
          <w:rFonts w:hint="eastAsia" w:ascii="Times New Roman" w:hAnsi="Times New Roman" w:eastAsiaTheme="minorEastAsia"/>
          <w:sz w:val="24"/>
        </w:rPr>
        <w:t>；当出现任何可能显著影响研究进行、或增加受试者危险的情况时，应以“研究进展报告”的方式，及时报告伦理委员会。伦理前置项目换取临床试验批件时，也以“研究进展报告”的方式报告伦理委员会。如果伦理审查批件有效期到期，需要申请延长批件有效期，应通过“研究进展报告”申请。</w:t>
      </w:r>
    </w:p>
    <w:p>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严重不良事件报告：根据《药物临床试验质量管理规范》（</w:t>
      </w:r>
      <w:r>
        <w:rPr>
          <w:rFonts w:ascii="Times New Roman" w:hAnsi="Times New Roman" w:eastAsiaTheme="minorEastAsia"/>
          <w:sz w:val="24"/>
        </w:rPr>
        <w:t>2020</w:t>
      </w:r>
      <w:r>
        <w:rPr>
          <w:rFonts w:hint="eastAsia" w:ascii="Times New Roman" w:hAnsi="Times New Roman" w:eastAsiaTheme="minorEastAsia"/>
          <w:sz w:val="24"/>
        </w:rPr>
        <w:t>），严重不良事件是指受试者接受试验用药品后出现死亡、危及生命、永久或者严重的残疾或者功能丧失、受试者需要住院治疗或者延长住院时间，以及先天性异常或者出生缺陷等不良医学事件。根据《医疗器械临床试验质量管理规范》（</w:t>
      </w:r>
      <w:r>
        <w:rPr>
          <w:rFonts w:ascii="Times New Roman" w:hAnsi="Times New Roman" w:eastAsiaTheme="minorEastAsia"/>
          <w:sz w:val="24"/>
        </w:rPr>
        <w:t>20</w:t>
      </w:r>
      <w:r>
        <w:rPr>
          <w:rFonts w:hint="eastAsia" w:ascii="Times New Roman" w:hAnsi="Times New Roman" w:eastAsiaTheme="minorEastAsia"/>
          <w:sz w:val="24"/>
          <w:lang w:val="en-US"/>
        </w:rPr>
        <w:t>22</w:t>
      </w:r>
      <w:r>
        <w:rPr>
          <w:rFonts w:hint="eastAsia" w:ascii="Times New Roman" w:hAnsi="Times New Roman" w:eastAsiaTheme="minorEastAsia"/>
          <w:sz w:val="24"/>
        </w:rPr>
        <w:t>），严重不良事件是指医疗器械临床试验过程中发生的导致死 亡或者健康状况严重恶化，包括致命的疾病或者伤害、身体结构 或者身体功能的永久性缺陷、需要住院治疗或者延长住院时间、 需要采取医疗措施以避免对身体结构或者身体功能造成永久性 缺陷；导致胎儿窘迫、胎儿死亡或者先天性异常、先天缺损等事件。医疗器械临床试验研究者应当在获知严重不良事件后 24 小时内，向伦理委员会报告，</w:t>
      </w:r>
      <w:r>
        <w:rPr>
          <w:rFonts w:hint="eastAsia" w:ascii="Times New Roman" w:hAnsi="Times New Roman" w:eastAsiaTheme="minorEastAsia"/>
          <w:sz w:val="24"/>
          <w:lang w:val="en-US"/>
        </w:rPr>
        <w:t>其他项目</w:t>
      </w:r>
      <w:r>
        <w:rPr>
          <w:rFonts w:hint="eastAsia" w:ascii="Times New Roman" w:hAnsi="Times New Roman" w:eastAsiaTheme="minorEastAsia"/>
          <w:sz w:val="24"/>
        </w:rPr>
        <w:t>在本中心发生的严重不良事件，应及时向伦理委员会报告。</w:t>
      </w:r>
    </w:p>
    <w:p>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违背方案报告：需要报告的违背方案情况包括：</w:t>
      </w:r>
      <w:r>
        <w:rPr>
          <w:rFonts w:hint="eastAsia" w:ascii="宋体" w:hAnsi="宋体" w:eastAsia="宋体" w:cs="宋体"/>
          <w:sz w:val="24"/>
        </w:rPr>
        <w:t>①</w:t>
      </w:r>
      <w:r>
        <w:rPr>
          <w:rFonts w:hint="eastAsia" w:ascii="Times New Roman" w:hAnsi="Times New Roman" w:eastAsiaTheme="minorEastAsia"/>
          <w:sz w:val="24"/>
        </w:rPr>
        <w:t>重大的违背方案：研究纳入了不符合纳入标准或符合排除标准的受试者，符合中止试验规定而未让受试者退出研究，给予错误治疗或剂量，给予方案禁止的合并用药等没有遵从方案开展研究的情况；或可能对受试者的权益</w:t>
      </w:r>
      <w:r>
        <w:rPr>
          <w:rFonts w:ascii="Times New Roman" w:hAnsi="Times New Roman" w:eastAsiaTheme="minorEastAsia"/>
          <w:sz w:val="24"/>
        </w:rPr>
        <w:t>/</w:t>
      </w:r>
      <w:r>
        <w:rPr>
          <w:rFonts w:hint="eastAsia" w:ascii="Times New Roman" w:hAnsi="Times New Roman" w:eastAsiaTheme="minorEastAsia"/>
          <w:sz w:val="24"/>
        </w:rPr>
        <w:t>健康以及研究的科学性造成显著影响等违背</w:t>
      </w:r>
      <w:r>
        <w:rPr>
          <w:rFonts w:ascii="Times New Roman" w:hAnsi="Times New Roman" w:eastAsiaTheme="minorEastAsia"/>
          <w:sz w:val="24"/>
        </w:rPr>
        <w:t>GCP</w:t>
      </w:r>
      <w:r>
        <w:rPr>
          <w:rFonts w:hint="eastAsia" w:ascii="Times New Roman" w:hAnsi="Times New Roman" w:eastAsiaTheme="minorEastAsia"/>
          <w:sz w:val="24"/>
        </w:rPr>
        <w:t>原则的情况。</w:t>
      </w:r>
      <w:r>
        <w:rPr>
          <w:rFonts w:hint="eastAsia" w:ascii="宋体" w:hAnsi="宋体" w:eastAsia="宋体" w:cs="宋体"/>
          <w:sz w:val="24"/>
        </w:rPr>
        <w:t>②</w:t>
      </w:r>
      <w:r>
        <w:rPr>
          <w:rFonts w:hint="eastAsia" w:ascii="Times New Roman" w:hAnsi="Times New Roman" w:eastAsiaTheme="minorEastAsia"/>
          <w:sz w:val="24"/>
        </w:rPr>
        <w:t>持续违背方案，或研究者不配合监查</w:t>
      </w:r>
      <w:r>
        <w:rPr>
          <w:rFonts w:ascii="Times New Roman" w:hAnsi="Times New Roman" w:eastAsiaTheme="minorEastAsia"/>
          <w:sz w:val="24"/>
        </w:rPr>
        <w:t>/</w:t>
      </w:r>
      <w:r>
        <w:rPr>
          <w:rFonts w:hint="eastAsia" w:ascii="Times New Roman" w:hAnsi="Times New Roman" w:eastAsiaTheme="minorEastAsia"/>
          <w:sz w:val="24"/>
        </w:rPr>
        <w:t>稽查，或对违规事件不予以纠正。③不影响受试者安全的较小方案违背或偏离等。凡是发生上述研究者违背</w:t>
      </w:r>
      <w:r>
        <w:rPr>
          <w:rFonts w:ascii="Times New Roman" w:hAnsi="Times New Roman" w:eastAsiaTheme="minorEastAsia"/>
          <w:sz w:val="24"/>
        </w:rPr>
        <w:t>GCP</w:t>
      </w:r>
      <w:r>
        <w:rPr>
          <w:rFonts w:hint="eastAsia" w:ascii="Times New Roman" w:hAnsi="Times New Roman" w:eastAsiaTheme="minorEastAsia"/>
          <w:sz w:val="24"/>
        </w:rPr>
        <w:t>原则、没有遵从方案开展研究，可能对受试者的权益</w:t>
      </w:r>
      <w:r>
        <w:rPr>
          <w:rFonts w:ascii="Times New Roman" w:hAnsi="Times New Roman" w:eastAsiaTheme="minorEastAsia"/>
          <w:sz w:val="24"/>
        </w:rPr>
        <w:t>/</w:t>
      </w:r>
      <w:r>
        <w:rPr>
          <w:rFonts w:hint="eastAsia" w:ascii="Times New Roman" w:hAnsi="Times New Roman" w:eastAsiaTheme="minorEastAsia"/>
          <w:sz w:val="24"/>
        </w:rPr>
        <w:t>健康、以及研究的科学性造成显著影响的情况，研究者</w:t>
      </w:r>
      <w:r>
        <w:rPr>
          <w:rFonts w:ascii="Times New Roman" w:hAnsi="Times New Roman" w:eastAsiaTheme="minorEastAsia"/>
          <w:sz w:val="24"/>
        </w:rPr>
        <w:t>/</w:t>
      </w:r>
      <w:r>
        <w:rPr>
          <w:rFonts w:hint="eastAsia" w:ascii="Times New Roman" w:hAnsi="Times New Roman" w:eastAsiaTheme="minorEastAsia"/>
          <w:sz w:val="24"/>
        </w:rPr>
        <w:t>申办者</w:t>
      </w:r>
      <w:r>
        <w:rPr>
          <w:rFonts w:hint="eastAsia" w:ascii="Times New Roman" w:hAnsi="Times New Roman" w:eastAsiaTheme="minorEastAsia"/>
          <w:sz w:val="24"/>
          <w:lang w:val="en-US"/>
        </w:rPr>
        <w:t>/</w:t>
      </w:r>
      <w:r>
        <w:rPr>
          <w:rFonts w:hint="eastAsia" w:ascii="Times New Roman" w:hAnsi="Times New Roman" w:eastAsiaTheme="minorEastAsia"/>
          <w:sz w:val="24"/>
        </w:rPr>
        <w:t>监查员应提交违背方案报告。为避免研究对受试者的即刻危险，研究者可在伦理委员会批准前偏离研究方案，事后应以</w:t>
      </w:r>
      <w:r>
        <w:rPr>
          <w:rFonts w:ascii="Times New Roman" w:hAnsi="Times New Roman" w:eastAsiaTheme="minorEastAsia"/>
          <w:sz w:val="24"/>
        </w:rPr>
        <w:t>“</w:t>
      </w:r>
      <w:r>
        <w:rPr>
          <w:rFonts w:hint="eastAsia" w:ascii="Times New Roman" w:hAnsi="Times New Roman" w:eastAsiaTheme="minorEastAsia"/>
          <w:sz w:val="24"/>
        </w:rPr>
        <w:t>违背方案报告</w:t>
      </w:r>
      <w:r>
        <w:rPr>
          <w:rFonts w:ascii="Times New Roman" w:hAnsi="Times New Roman" w:eastAsiaTheme="minorEastAsia"/>
          <w:sz w:val="24"/>
        </w:rPr>
        <w:t>”</w:t>
      </w:r>
      <w:r>
        <w:rPr>
          <w:rFonts w:hint="eastAsia" w:ascii="Times New Roman" w:hAnsi="Times New Roman" w:eastAsiaTheme="minorEastAsia"/>
          <w:sz w:val="24"/>
        </w:rPr>
        <w:t>的方式，向伦理委员会报告任何偏离已批准方案之处并作解释。重大的违背方案和持续违背方案在获知后24小时内需上报伦理伦理委员会，可以先以邮件形式，然后一周内补交纸质版报告，轻微偏离纸质版汇总报告需每季度上报伦理委员会。</w:t>
      </w:r>
    </w:p>
    <w:p>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暂停</w:t>
      </w:r>
      <w:r>
        <w:rPr>
          <w:rFonts w:ascii="Times New Roman" w:hAnsi="Times New Roman" w:eastAsiaTheme="minorEastAsia"/>
          <w:sz w:val="24"/>
        </w:rPr>
        <w:t>/</w:t>
      </w:r>
      <w:r>
        <w:rPr>
          <w:rFonts w:hint="eastAsia" w:ascii="Times New Roman" w:hAnsi="Times New Roman" w:eastAsiaTheme="minorEastAsia"/>
          <w:sz w:val="24"/>
        </w:rPr>
        <w:t>终止研究报告：研究者</w:t>
      </w:r>
      <w:r>
        <w:rPr>
          <w:rFonts w:ascii="Times New Roman" w:hAnsi="Times New Roman" w:eastAsiaTheme="minorEastAsia"/>
          <w:sz w:val="24"/>
        </w:rPr>
        <w:t>/</w:t>
      </w:r>
      <w:r>
        <w:rPr>
          <w:rFonts w:hint="eastAsia" w:ascii="Times New Roman" w:hAnsi="Times New Roman" w:eastAsiaTheme="minorEastAsia"/>
          <w:sz w:val="24"/>
        </w:rPr>
        <w:t>申办者暂停或提前终止临床研究，应及时向伦理委员提交暂停</w:t>
      </w:r>
      <w:r>
        <w:rPr>
          <w:rFonts w:ascii="Times New Roman" w:hAnsi="Times New Roman" w:eastAsiaTheme="minorEastAsia"/>
          <w:sz w:val="24"/>
        </w:rPr>
        <w:t>/</w:t>
      </w:r>
      <w:r>
        <w:rPr>
          <w:rFonts w:hint="eastAsia" w:ascii="Times New Roman" w:hAnsi="Times New Roman" w:eastAsiaTheme="minorEastAsia"/>
          <w:sz w:val="24"/>
        </w:rPr>
        <w:t>终止研究报告。</w:t>
      </w:r>
    </w:p>
    <w:p>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研究完成报告：完成临床研究，应及时向伦理委员会提交研究完成报告。</w:t>
      </w:r>
    </w:p>
    <w:p>
      <w:pPr>
        <w:pStyle w:val="15"/>
        <w:numPr>
          <w:ilvl w:val="0"/>
          <w:numId w:val="2"/>
        </w:numPr>
        <w:shd w:val="clear" w:color="auto" w:fill="auto"/>
        <w:spacing w:before="0" w:line="360" w:lineRule="auto"/>
        <w:ind w:firstLineChars="0"/>
        <w:jc w:val="both"/>
        <w:rPr>
          <w:rFonts w:ascii="Times New Roman" w:hAnsi="Times New Roman" w:eastAsiaTheme="minorEastAsia"/>
          <w:sz w:val="24"/>
          <w:szCs w:val="24"/>
        </w:rPr>
      </w:pPr>
      <w:r>
        <w:rPr>
          <w:rFonts w:hint="eastAsia" w:ascii="Times New Roman" w:hAnsi="Times New Roman" w:eastAsiaTheme="minorEastAsia"/>
          <w:sz w:val="24"/>
          <w:szCs w:val="24"/>
        </w:rPr>
        <w:t>复审</w:t>
      </w:r>
    </w:p>
    <w:p>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复审申请：上述初始审查和跟踪审查后，按伦理审查意见“修改后批准”、“修改后再审”，对方案等材料进行修改后，应以“复审申请”的方式再次送审，经伦理委员会批准后方可实施；如果对伦理审查意见有不同的看法，可以“复审申请”的方式申诉不同意见，请伦理委员会重新考虑决定。</w:t>
      </w:r>
    </w:p>
    <w:p>
      <w:pPr>
        <w:pStyle w:val="15"/>
        <w:shd w:val="clear" w:color="auto" w:fill="auto"/>
        <w:tabs>
          <w:tab w:val="left" w:pos="558"/>
        </w:tabs>
        <w:spacing w:before="0" w:line="360" w:lineRule="auto"/>
        <w:ind w:right="220" w:firstLine="482"/>
        <w:jc w:val="both"/>
        <w:rPr>
          <w:rFonts w:ascii="Times New Roman" w:hAnsi="Times New Roman" w:eastAsiaTheme="minorEastAsia"/>
          <w:sz w:val="24"/>
          <w:szCs w:val="24"/>
        </w:rPr>
      </w:pPr>
      <w:r>
        <w:rPr>
          <w:rFonts w:hint="eastAsia" w:ascii="Times New Roman" w:hAnsi="Times New Roman" w:eastAsiaTheme="minorEastAsia"/>
          <w:b/>
          <w:sz w:val="24"/>
          <w:szCs w:val="24"/>
        </w:rPr>
        <w:t>三、提交伦理审查的流程</w:t>
      </w:r>
    </w:p>
    <w:p>
      <w:pPr>
        <w:pStyle w:val="15"/>
        <w:shd w:val="clear" w:color="auto" w:fill="auto"/>
        <w:tabs>
          <w:tab w:val="left" w:pos="558"/>
        </w:tabs>
        <w:spacing w:before="0" w:line="360" w:lineRule="auto"/>
        <w:ind w:right="220" w:firstLine="480"/>
        <w:jc w:val="both"/>
        <w:rPr>
          <w:rFonts w:ascii="Times New Roman" w:hAnsi="Times New Roman" w:eastAsiaTheme="minorEastAsia"/>
          <w:sz w:val="24"/>
          <w:szCs w:val="24"/>
        </w:rPr>
      </w:pPr>
      <w:r>
        <w:rPr>
          <w:rFonts w:ascii="Times New Roman" w:hAnsi="Times New Roman" w:eastAsiaTheme="minorEastAsia"/>
          <w:sz w:val="24"/>
          <w:szCs w:val="24"/>
        </w:rPr>
        <w:t>1.</w:t>
      </w:r>
      <w:r>
        <w:rPr>
          <w:rFonts w:hint="eastAsia" w:ascii="Times New Roman" w:hAnsi="Times New Roman" w:eastAsiaTheme="minorEastAsia"/>
          <w:sz w:val="24"/>
          <w:szCs w:val="24"/>
        </w:rPr>
        <w:t>送审</w:t>
      </w:r>
    </w:p>
    <w:p>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送审责任者：研究项目的送审责任者一般为主要研究者</w:t>
      </w:r>
      <w:r>
        <w:rPr>
          <w:rFonts w:ascii="Times New Roman" w:hAnsi="Times New Roman" w:eastAsiaTheme="minorEastAsia"/>
          <w:sz w:val="24"/>
        </w:rPr>
        <w:t>/</w:t>
      </w:r>
      <w:r>
        <w:rPr>
          <w:rFonts w:hint="eastAsia" w:ascii="Times New Roman" w:hAnsi="Times New Roman" w:eastAsiaTheme="minorEastAsia"/>
          <w:sz w:val="24"/>
        </w:rPr>
        <w:t>课题负责人；药物和医疗器械临床试验一般由申办者负责准备送审材料，但须主要研究者签字；研究生课题的送审应由其导师或指导老师共同签署。</w:t>
      </w:r>
    </w:p>
    <w:p>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准备送审文件：根据</w:t>
      </w:r>
      <w:r>
        <w:rPr>
          <w:rFonts w:ascii="Times New Roman" w:hAnsi="Times New Roman" w:eastAsiaTheme="minorEastAsia"/>
          <w:sz w:val="24"/>
          <w:lang w:eastAsia="zh-TW"/>
        </w:rPr>
        <w:t>AF11</w:t>
      </w:r>
      <w:r>
        <w:rPr>
          <w:rFonts w:hint="eastAsia" w:ascii="Times New Roman" w:hAnsi="Times New Roman" w:eastAsiaTheme="minorEastAsia"/>
          <w:sz w:val="24"/>
        </w:rPr>
        <w:t>送审文件清单，准备送审文件：方案和知情同意书等注明版本号和版本日期。</w:t>
      </w:r>
    </w:p>
    <w:p>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填写申请</w:t>
      </w:r>
      <w:r>
        <w:rPr>
          <w:rFonts w:ascii="Times New Roman" w:hAnsi="Times New Roman" w:eastAsiaTheme="minorEastAsia"/>
          <w:sz w:val="24"/>
        </w:rPr>
        <w:t>/</w:t>
      </w:r>
      <w:r>
        <w:rPr>
          <w:rFonts w:hint="eastAsia" w:ascii="Times New Roman" w:hAnsi="Times New Roman" w:eastAsiaTheme="minorEastAsia"/>
          <w:sz w:val="24"/>
        </w:rPr>
        <w:t>报告的表格：根据伦理审查申请</w:t>
      </w:r>
      <w:r>
        <w:rPr>
          <w:rFonts w:ascii="Times New Roman" w:hAnsi="Times New Roman" w:eastAsiaTheme="minorEastAsia"/>
          <w:sz w:val="24"/>
        </w:rPr>
        <w:t>/</w:t>
      </w:r>
      <w:r>
        <w:rPr>
          <w:rFonts w:hint="eastAsia" w:ascii="Times New Roman" w:hAnsi="Times New Roman" w:eastAsiaTheme="minorEastAsia"/>
          <w:sz w:val="24"/>
        </w:rPr>
        <w:t>报告的类别，填写相应的“申请”</w:t>
      </w:r>
      <w:r>
        <w:rPr>
          <w:rFonts w:ascii="Times New Roman" w:hAnsi="Times New Roman" w:eastAsiaTheme="minorEastAsia"/>
          <w:sz w:val="24"/>
          <w:lang w:eastAsia="zh-TW"/>
        </w:rPr>
        <w:t>AF1</w:t>
      </w:r>
      <w:r>
        <w:rPr>
          <w:rFonts w:hint="eastAsia" w:ascii="Times New Roman" w:hAnsi="Times New Roman" w:eastAsiaTheme="minorEastAsia"/>
          <w:sz w:val="24"/>
          <w:lang w:val="en-US"/>
        </w:rPr>
        <w:t>2</w:t>
      </w:r>
      <w:r>
        <w:rPr>
          <w:rFonts w:hint="eastAsia" w:ascii="Times New Roman" w:hAnsi="Times New Roman" w:eastAsiaTheme="minorEastAsia"/>
          <w:sz w:val="24"/>
        </w:rPr>
        <w:t>（初始审查申请表（药物临床试验项目）</w:t>
      </w:r>
      <w:r>
        <w:rPr>
          <w:rFonts w:hint="eastAsia" w:ascii="Times New Roman" w:hAnsi="Times New Roman" w:eastAsiaTheme="minorEastAsia"/>
          <w:sz w:val="24"/>
          <w:lang w:val="en-US"/>
        </w:rPr>
        <w:t>、</w:t>
      </w:r>
      <w:r>
        <w:rPr>
          <w:rFonts w:ascii="Times New Roman" w:hAnsi="Times New Roman" w:eastAsiaTheme="minorEastAsia"/>
          <w:sz w:val="24"/>
          <w:lang w:eastAsia="zh-TW"/>
        </w:rPr>
        <w:t>AF1</w:t>
      </w:r>
      <w:r>
        <w:rPr>
          <w:rFonts w:hint="eastAsia" w:ascii="Times New Roman" w:hAnsi="Times New Roman" w:eastAsiaTheme="minorEastAsia"/>
          <w:sz w:val="24"/>
          <w:lang w:val="en-US"/>
        </w:rPr>
        <w:t>3</w:t>
      </w:r>
      <w:r>
        <w:rPr>
          <w:rFonts w:hint="eastAsia" w:ascii="Times New Roman" w:hAnsi="Times New Roman" w:eastAsiaTheme="minorEastAsia"/>
          <w:sz w:val="24"/>
        </w:rPr>
        <w:t>初始审查申请表（医疗器械临床试验项目）、</w:t>
      </w:r>
      <w:r>
        <w:rPr>
          <w:rFonts w:ascii="Times New Roman" w:hAnsi="Times New Roman" w:eastAsiaTheme="minorEastAsia"/>
          <w:sz w:val="24"/>
          <w:lang w:eastAsia="zh-TW"/>
        </w:rPr>
        <w:t>AF1</w:t>
      </w:r>
      <w:r>
        <w:rPr>
          <w:rFonts w:hint="eastAsia" w:ascii="Times New Roman" w:hAnsi="Times New Roman" w:eastAsiaTheme="minorEastAsia"/>
          <w:sz w:val="24"/>
          <w:lang w:val="en-US"/>
        </w:rPr>
        <w:t>5</w:t>
      </w:r>
      <w:r>
        <w:rPr>
          <w:rFonts w:hint="eastAsia" w:ascii="Times New Roman" w:hAnsi="Times New Roman" w:eastAsiaTheme="minorEastAsia"/>
          <w:sz w:val="24"/>
        </w:rPr>
        <w:t>初始审查申请表（新技术新项目）、</w:t>
      </w:r>
      <w:r>
        <w:rPr>
          <w:rFonts w:ascii="Times New Roman" w:hAnsi="Times New Roman" w:eastAsiaTheme="minorEastAsia"/>
          <w:sz w:val="24"/>
          <w:lang w:eastAsia="zh-TW"/>
        </w:rPr>
        <w:t>AF1</w:t>
      </w:r>
      <w:r>
        <w:rPr>
          <w:rFonts w:hint="eastAsia" w:ascii="Times New Roman" w:hAnsi="Times New Roman" w:eastAsiaTheme="minorEastAsia"/>
          <w:sz w:val="24"/>
          <w:lang w:val="en-US"/>
        </w:rPr>
        <w:t>6</w:t>
      </w:r>
      <w:r>
        <w:rPr>
          <w:rFonts w:hint="eastAsia" w:ascii="Times New Roman" w:hAnsi="Times New Roman" w:eastAsiaTheme="minorEastAsia"/>
          <w:sz w:val="24"/>
        </w:rPr>
        <w:t>初始审查申请表（科研项目）、</w:t>
      </w:r>
      <w:r>
        <w:rPr>
          <w:rFonts w:ascii="Times New Roman" w:hAnsi="Times New Roman" w:eastAsiaTheme="minorEastAsia"/>
          <w:sz w:val="24"/>
          <w:lang w:eastAsia="zh-TW"/>
        </w:rPr>
        <w:t>AF</w:t>
      </w:r>
      <w:r>
        <w:rPr>
          <w:rFonts w:hint="eastAsia" w:ascii="Times New Roman" w:hAnsi="Times New Roman" w:eastAsiaTheme="minorEastAsia"/>
          <w:sz w:val="24"/>
          <w:lang w:val="en-US"/>
        </w:rPr>
        <w:t>24</w:t>
      </w:r>
      <w:r>
        <w:rPr>
          <w:rFonts w:hint="eastAsia" w:ascii="Times New Roman" w:hAnsi="Times New Roman" w:eastAsiaTheme="minorEastAsia"/>
          <w:sz w:val="24"/>
        </w:rPr>
        <w:t>免除审查申请表、</w:t>
      </w:r>
      <w:r>
        <w:rPr>
          <w:rFonts w:ascii="Times New Roman" w:hAnsi="Times New Roman" w:eastAsiaTheme="minorEastAsia"/>
          <w:sz w:val="24"/>
          <w:lang w:eastAsia="zh-TW"/>
        </w:rPr>
        <w:t>AF</w:t>
      </w:r>
      <w:r>
        <w:rPr>
          <w:rFonts w:hint="eastAsia" w:ascii="Times New Roman" w:hAnsi="Times New Roman" w:eastAsiaTheme="minorEastAsia"/>
          <w:sz w:val="24"/>
          <w:lang w:val="en-US"/>
        </w:rPr>
        <w:t>17</w:t>
      </w:r>
      <w:r>
        <w:rPr>
          <w:rFonts w:hint="eastAsia" w:ascii="Times New Roman" w:hAnsi="Times New Roman" w:eastAsiaTheme="minorEastAsia"/>
          <w:sz w:val="24"/>
        </w:rPr>
        <w:t>修正案审查申请表、</w:t>
      </w:r>
      <w:r>
        <w:rPr>
          <w:rFonts w:ascii="Times New Roman" w:hAnsi="Times New Roman" w:eastAsiaTheme="minorEastAsia"/>
          <w:sz w:val="24"/>
          <w:lang w:eastAsia="zh-TW"/>
        </w:rPr>
        <w:t>AF</w:t>
      </w:r>
      <w:r>
        <w:rPr>
          <w:rFonts w:hint="eastAsia" w:ascii="Times New Roman" w:hAnsi="Times New Roman" w:eastAsiaTheme="minorEastAsia"/>
          <w:sz w:val="24"/>
          <w:lang w:val="en-US"/>
        </w:rPr>
        <w:t>23</w:t>
      </w:r>
      <w:r>
        <w:rPr>
          <w:rFonts w:hint="eastAsia" w:ascii="Times New Roman" w:hAnsi="Times New Roman" w:eastAsiaTheme="minorEastAsia"/>
          <w:sz w:val="24"/>
        </w:rPr>
        <w:t>复审申请表），或</w:t>
      </w:r>
      <w:r>
        <w:rPr>
          <w:rFonts w:ascii="Times New Roman" w:hAnsi="Times New Roman" w:eastAsiaTheme="minorEastAsia"/>
          <w:sz w:val="24"/>
        </w:rPr>
        <w:t>“</w:t>
      </w:r>
      <w:r>
        <w:rPr>
          <w:rFonts w:hint="eastAsia" w:ascii="Times New Roman" w:hAnsi="Times New Roman" w:eastAsiaTheme="minorEastAsia"/>
          <w:sz w:val="24"/>
        </w:rPr>
        <w:t>报告</w:t>
      </w:r>
      <w:r>
        <w:rPr>
          <w:rFonts w:ascii="Times New Roman" w:hAnsi="Times New Roman" w:eastAsiaTheme="minorEastAsia"/>
          <w:sz w:val="24"/>
        </w:rPr>
        <w:t>”</w:t>
      </w:r>
      <w:r>
        <w:rPr>
          <w:rFonts w:hint="eastAsia" w:ascii="Times New Roman" w:hAnsi="Times New Roman" w:eastAsiaTheme="minorEastAsia"/>
          <w:sz w:val="24"/>
        </w:rPr>
        <w:t>（</w:t>
      </w:r>
      <w:r>
        <w:rPr>
          <w:rFonts w:ascii="Times New Roman" w:hAnsi="Times New Roman" w:eastAsiaTheme="minorEastAsia"/>
          <w:sz w:val="24"/>
          <w:lang w:eastAsia="zh-TW"/>
        </w:rPr>
        <w:t>AF1</w:t>
      </w:r>
      <w:r>
        <w:rPr>
          <w:rFonts w:hint="eastAsia" w:ascii="Times New Roman" w:hAnsi="Times New Roman" w:eastAsiaTheme="minorEastAsia"/>
          <w:sz w:val="24"/>
          <w:lang w:val="en-US"/>
        </w:rPr>
        <w:t>8</w:t>
      </w:r>
      <w:r>
        <w:rPr>
          <w:rFonts w:hint="eastAsia" w:ascii="Times New Roman" w:hAnsi="Times New Roman" w:eastAsiaTheme="minorEastAsia"/>
          <w:sz w:val="24"/>
        </w:rPr>
        <w:t>研究进展报告、</w:t>
      </w:r>
      <w:r>
        <w:rPr>
          <w:rFonts w:ascii="Times New Roman" w:hAnsi="Times New Roman" w:eastAsiaTheme="minorEastAsia"/>
          <w:sz w:val="24"/>
          <w:lang w:eastAsia="zh-TW"/>
        </w:rPr>
        <w:t>AF1</w:t>
      </w:r>
      <w:r>
        <w:rPr>
          <w:rFonts w:hint="eastAsia" w:ascii="Times New Roman" w:hAnsi="Times New Roman" w:eastAsiaTheme="minorEastAsia"/>
          <w:sz w:val="24"/>
          <w:lang w:val="en-US"/>
        </w:rPr>
        <w:t>9</w:t>
      </w:r>
      <w:r>
        <w:rPr>
          <w:rFonts w:hint="eastAsia" w:ascii="Times New Roman" w:hAnsi="Times New Roman" w:eastAsiaTheme="minorEastAsia"/>
          <w:sz w:val="24"/>
        </w:rPr>
        <w:t>严重不良事件</w:t>
      </w:r>
      <w:r>
        <w:rPr>
          <w:rFonts w:ascii="Times New Roman" w:hAnsi="Times New Roman" w:eastAsiaTheme="minorEastAsia"/>
          <w:sz w:val="24"/>
        </w:rPr>
        <w:t>/</w:t>
      </w:r>
      <w:r>
        <w:rPr>
          <w:rFonts w:hint="eastAsia" w:ascii="Times New Roman" w:hAnsi="Times New Roman" w:eastAsiaTheme="minorEastAsia"/>
          <w:sz w:val="24"/>
        </w:rPr>
        <w:t>非预期不良事件报告、</w:t>
      </w:r>
      <w:r>
        <w:rPr>
          <w:rFonts w:ascii="Times New Roman" w:hAnsi="Times New Roman" w:eastAsiaTheme="minorEastAsia"/>
          <w:sz w:val="24"/>
          <w:lang w:eastAsia="zh-TW"/>
        </w:rPr>
        <w:t>AF</w:t>
      </w:r>
      <w:r>
        <w:rPr>
          <w:rFonts w:hint="eastAsia" w:ascii="Times New Roman" w:hAnsi="Times New Roman" w:eastAsiaTheme="minorEastAsia"/>
          <w:sz w:val="24"/>
          <w:lang w:val="en-US"/>
        </w:rPr>
        <w:t>20</w:t>
      </w:r>
      <w:r>
        <w:rPr>
          <w:rFonts w:hint="eastAsia" w:ascii="Times New Roman" w:hAnsi="Times New Roman" w:eastAsiaTheme="minorEastAsia"/>
          <w:sz w:val="24"/>
        </w:rPr>
        <w:t>违背方案报告、</w:t>
      </w:r>
      <w:r>
        <w:rPr>
          <w:rFonts w:ascii="Times New Roman" w:hAnsi="Times New Roman" w:eastAsiaTheme="minorEastAsia"/>
          <w:sz w:val="24"/>
          <w:lang w:eastAsia="zh-TW"/>
        </w:rPr>
        <w:t>AF</w:t>
      </w:r>
      <w:r>
        <w:rPr>
          <w:rFonts w:hint="eastAsia" w:ascii="Times New Roman" w:hAnsi="Times New Roman" w:eastAsiaTheme="minorEastAsia"/>
          <w:sz w:val="24"/>
          <w:lang w:val="en-US"/>
        </w:rPr>
        <w:t>2</w:t>
      </w:r>
      <w:r>
        <w:rPr>
          <w:rFonts w:ascii="Times New Roman" w:hAnsi="Times New Roman" w:eastAsiaTheme="minorEastAsia"/>
          <w:sz w:val="24"/>
          <w:lang w:eastAsia="zh-TW"/>
        </w:rPr>
        <w:t>1</w:t>
      </w:r>
      <w:r>
        <w:rPr>
          <w:rFonts w:hint="eastAsia" w:ascii="Times New Roman" w:hAnsi="Times New Roman" w:eastAsiaTheme="minorEastAsia"/>
          <w:sz w:val="24"/>
        </w:rPr>
        <w:t>暂停</w:t>
      </w:r>
      <w:r>
        <w:rPr>
          <w:rFonts w:ascii="Times New Roman" w:hAnsi="Times New Roman" w:eastAsiaTheme="minorEastAsia"/>
          <w:sz w:val="24"/>
        </w:rPr>
        <w:t>/</w:t>
      </w:r>
      <w:r>
        <w:rPr>
          <w:rFonts w:hint="eastAsia" w:ascii="Times New Roman" w:hAnsi="Times New Roman" w:eastAsiaTheme="minorEastAsia"/>
          <w:sz w:val="24"/>
        </w:rPr>
        <w:t>终止研究报告、</w:t>
      </w:r>
      <w:r>
        <w:rPr>
          <w:rFonts w:ascii="Times New Roman" w:hAnsi="Times New Roman" w:eastAsiaTheme="minorEastAsia"/>
          <w:sz w:val="24"/>
          <w:lang w:eastAsia="zh-TW"/>
        </w:rPr>
        <w:t>AF</w:t>
      </w:r>
      <w:r>
        <w:rPr>
          <w:rFonts w:hint="eastAsia" w:ascii="Times New Roman" w:hAnsi="Times New Roman" w:eastAsiaTheme="minorEastAsia"/>
          <w:sz w:val="24"/>
          <w:lang w:val="en-US"/>
        </w:rPr>
        <w:t>22</w:t>
      </w:r>
      <w:r>
        <w:rPr>
          <w:rFonts w:hint="eastAsia" w:ascii="Times New Roman" w:hAnsi="Times New Roman" w:eastAsiaTheme="minorEastAsia"/>
          <w:sz w:val="24"/>
        </w:rPr>
        <w:t>研究完成报告）。</w:t>
      </w:r>
    </w:p>
    <w:p>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提交：可以首先提交</w:t>
      </w:r>
      <w:r>
        <w:rPr>
          <w:rFonts w:ascii="Times New Roman" w:hAnsi="Times New Roman" w:eastAsiaTheme="minorEastAsia"/>
          <w:sz w:val="24"/>
        </w:rPr>
        <w:t>1</w:t>
      </w:r>
      <w:r>
        <w:rPr>
          <w:rFonts w:hint="eastAsia" w:ascii="Times New Roman" w:hAnsi="Times New Roman" w:eastAsiaTheme="minorEastAsia"/>
          <w:sz w:val="24"/>
        </w:rPr>
        <w:t>套送审文件（盖章原版）至伦理委员会办公室，同时，可通过</w:t>
      </w:r>
      <w:r>
        <w:rPr>
          <w:rFonts w:hint="eastAsia" w:ascii="Times New Roman" w:hAnsi="Times New Roman" w:eastAsiaTheme="minorEastAsia"/>
          <w:sz w:val="24"/>
          <w:lang w:val="en-US"/>
        </w:rPr>
        <w:t>临床试验管理系统/科研项目管理系统/伦理公共</w:t>
      </w:r>
      <w:r>
        <w:rPr>
          <w:rFonts w:hint="eastAsia" w:ascii="Times New Roman" w:hAnsi="Times New Roman" w:eastAsiaTheme="minorEastAsia"/>
          <w:sz w:val="24"/>
        </w:rPr>
        <w:t>邮箱提交电子版材料（扫描盖章版）。提交初始审查申请的主要研究者，还需提交资质证明文件复印件，</w:t>
      </w:r>
      <w:r>
        <w:rPr>
          <w:rFonts w:ascii="Times New Roman" w:hAnsi="Times New Roman" w:eastAsiaTheme="minorEastAsia"/>
          <w:sz w:val="24"/>
        </w:rPr>
        <w:t>GCP</w:t>
      </w:r>
      <w:r>
        <w:rPr>
          <w:rFonts w:hint="eastAsia" w:ascii="Times New Roman" w:hAnsi="Times New Roman" w:eastAsiaTheme="minorEastAsia"/>
          <w:sz w:val="24"/>
        </w:rPr>
        <w:t>培训证书复印件。</w:t>
      </w:r>
    </w:p>
    <w:p>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前置伦理项目：按常规项目准备伦理审查资料（除了不准备NMPA临床试验通知书），另外需要额外准备的资料有</w:t>
      </w:r>
      <w:r>
        <w:rPr>
          <w:rFonts w:hint="eastAsia" w:ascii="Times New Roman" w:hAnsi="Times New Roman" w:eastAsiaTheme="minorEastAsia"/>
          <w:sz w:val="24"/>
          <w:lang w:val="en-US"/>
        </w:rPr>
        <w:t>A76</w:t>
      </w:r>
      <w:r>
        <w:rPr>
          <w:rFonts w:hint="eastAsia" w:ascii="Times New Roman" w:hAnsi="Times New Roman" w:eastAsiaTheme="minorEastAsia"/>
          <w:sz w:val="24"/>
        </w:rPr>
        <w:t>前置伦理审评立项资料一致性声明、与CDE的沟通情况记录，包括以下任一形式：会议纪要（适用于召开沟通会的情形）、邮件（适用于CDE通过邮件反馈意见）、申请人之窗反馈（适用于CDE通过申请人之家反馈意见）、免除与CDE沟通情况说明（适用于符合国家药监局关于调整药物临床试验审评审批程序的公告（2018年第50号）相关规定，可不经沟通交流直接提出临床试验申请的项目）。待获得药审中心备案60天到期回执或者CDE药物临床试验通知书后，持AF77前置伦理审评项目备案成功承诺书及无否定意见的证明材料（CDE临床试验默示许可公示截屏或临床试验通知书）通过“研究进展报告”方式领取“伦理审查批件”。</w:t>
      </w:r>
    </w:p>
    <w:p>
      <w:pPr>
        <w:tabs>
          <w:tab w:val="left" w:pos="5310"/>
        </w:tabs>
        <w:ind w:left="482" w:firstLine="0" w:firstLineChars="0"/>
        <w:rPr>
          <w:rFonts w:ascii="Times New Roman" w:hAnsi="Times New Roman" w:eastAsiaTheme="minorEastAsia"/>
          <w:sz w:val="24"/>
        </w:rPr>
      </w:pPr>
      <w:r>
        <w:rPr>
          <w:rFonts w:ascii="Times New Roman" w:hAnsi="Times New Roman" w:eastAsiaTheme="minorEastAsia"/>
          <w:sz w:val="24"/>
          <w:lang w:eastAsia="zh-TW"/>
        </w:rPr>
        <w:t>2.</w:t>
      </w:r>
      <w:r>
        <w:rPr>
          <w:rFonts w:hint="eastAsia" w:ascii="Times New Roman" w:hAnsi="Times New Roman" w:eastAsiaTheme="minorEastAsia"/>
          <w:sz w:val="24"/>
          <w:lang w:eastAsia="zh-TW"/>
        </w:rPr>
        <w:t>领取通知</w:t>
      </w:r>
    </w:p>
    <w:p>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补充</w:t>
      </w:r>
      <w:r>
        <w:rPr>
          <w:rFonts w:ascii="Times New Roman" w:hAnsi="Times New Roman" w:eastAsiaTheme="minorEastAsia"/>
          <w:sz w:val="24"/>
        </w:rPr>
        <w:t>/</w:t>
      </w:r>
      <w:r>
        <w:rPr>
          <w:rFonts w:hint="eastAsia" w:ascii="Times New Roman" w:hAnsi="Times New Roman" w:eastAsiaTheme="minorEastAsia"/>
          <w:sz w:val="24"/>
        </w:rPr>
        <w:t>修改送审材料通知：秘书受理后，如果认为送审文件不完整，文</w:t>
      </w:r>
      <w:r>
        <w:rPr>
          <w:rFonts w:hint="eastAsia" w:ascii="Times New Roman" w:hAnsi="Times New Roman" w:eastAsiaTheme="minorEastAsia"/>
          <w:color w:val="auto"/>
          <w:sz w:val="24"/>
        </w:rPr>
        <w:t>件要素有缺陷，应在项目形式审查表</w:t>
      </w:r>
      <w:r>
        <w:rPr>
          <w:rFonts w:ascii="Times New Roman" w:hAnsi="Times New Roman" w:eastAsiaTheme="minorEastAsia"/>
          <w:color w:val="auto"/>
          <w:sz w:val="24"/>
        </w:rPr>
        <w:t>/</w:t>
      </w:r>
      <w:r>
        <w:rPr>
          <w:rFonts w:hint="eastAsia" w:ascii="Times New Roman" w:hAnsi="Times New Roman" w:eastAsiaTheme="minorEastAsia"/>
          <w:color w:val="auto"/>
          <w:sz w:val="24"/>
        </w:rPr>
        <w:t>受理通知中的“意见”一栏告知缺项文件、缺陷的要素，以及最近审查会议前的送审截止日期。</w:t>
      </w:r>
    </w:p>
    <w:p>
      <w:pPr>
        <w:pStyle w:val="30"/>
        <w:numPr>
          <w:ilvl w:val="0"/>
          <w:numId w:val="3"/>
        </w:numPr>
        <w:tabs>
          <w:tab w:val="left" w:pos="5310"/>
        </w:tabs>
        <w:ind w:left="902" w:hanging="420" w:firstLineChars="0"/>
        <w:rPr>
          <w:rFonts w:ascii="Times New Roman" w:hAnsi="Times New Roman" w:eastAsiaTheme="minorEastAsia"/>
          <w:color w:val="auto"/>
          <w:sz w:val="24"/>
        </w:rPr>
      </w:pPr>
      <w:r>
        <w:rPr>
          <w:rFonts w:hint="eastAsia" w:ascii="Times New Roman" w:hAnsi="Times New Roman" w:eastAsiaTheme="minorEastAsia"/>
          <w:sz w:val="24"/>
        </w:rPr>
        <w:t>受理通知</w:t>
      </w:r>
      <w:r>
        <w:rPr>
          <w:rFonts w:ascii="Times New Roman" w:hAnsi="Times New Roman" w:eastAsiaTheme="minorEastAsia"/>
          <w:sz w:val="24"/>
        </w:rPr>
        <w:t>:</w:t>
      </w:r>
      <w:r>
        <w:rPr>
          <w:rFonts w:hint="eastAsia" w:ascii="Times New Roman" w:hAnsi="Times New Roman" w:eastAsiaTheme="minorEastAsia"/>
          <w:sz w:val="24"/>
        </w:rPr>
        <w:t>送审文件的完整性和要素通过形式审查，秘书在</w:t>
      </w:r>
      <w:r>
        <w:rPr>
          <w:rFonts w:hint="eastAsia" w:ascii="Times New Roman" w:hAnsi="Times New Roman" w:eastAsiaTheme="minorEastAsia"/>
          <w:color w:val="auto"/>
          <w:sz w:val="24"/>
        </w:rPr>
        <w:t>项目形式审查表</w:t>
      </w:r>
      <w:r>
        <w:rPr>
          <w:rFonts w:ascii="Times New Roman" w:hAnsi="Times New Roman" w:eastAsiaTheme="minorEastAsia"/>
          <w:color w:val="auto"/>
          <w:sz w:val="24"/>
        </w:rPr>
        <w:t>/</w:t>
      </w:r>
      <w:r>
        <w:rPr>
          <w:rFonts w:hint="eastAsia" w:ascii="Times New Roman" w:hAnsi="Times New Roman" w:eastAsiaTheme="minorEastAsia"/>
          <w:color w:val="auto"/>
          <w:sz w:val="24"/>
        </w:rPr>
        <w:t>受理通知中给予受理号，并告知预定审查日期。</w:t>
      </w:r>
    </w:p>
    <w:p>
      <w:pPr>
        <w:pStyle w:val="15"/>
        <w:shd w:val="clear" w:color="auto" w:fill="auto"/>
        <w:tabs>
          <w:tab w:val="left" w:pos="558"/>
        </w:tabs>
        <w:spacing w:before="0" w:line="360" w:lineRule="auto"/>
        <w:ind w:left="560" w:right="220" w:firstLine="0" w:firstLineChars="0"/>
        <w:jc w:val="both"/>
        <w:rPr>
          <w:rFonts w:ascii="Times New Roman" w:hAnsi="Times New Roman" w:eastAsiaTheme="minorEastAsia"/>
          <w:sz w:val="24"/>
          <w:szCs w:val="24"/>
        </w:rPr>
      </w:pPr>
      <w:r>
        <w:rPr>
          <w:rStyle w:val="16"/>
          <w:rFonts w:ascii="Times New Roman" w:hAnsi="Times New Roman" w:eastAsiaTheme="minorEastAsia"/>
          <w:sz w:val="24"/>
          <w:szCs w:val="24"/>
        </w:rPr>
        <w:t>3</w:t>
      </w:r>
      <w:r>
        <w:rPr>
          <w:rFonts w:ascii="Times New Roman" w:hAnsi="Times New Roman" w:eastAsiaTheme="minorEastAsia"/>
          <w:sz w:val="24"/>
          <w:szCs w:val="24"/>
        </w:rPr>
        <w:t>.</w:t>
      </w:r>
      <w:r>
        <w:rPr>
          <w:rFonts w:hint="eastAsia" w:ascii="Times New Roman" w:hAnsi="Times New Roman" w:eastAsiaTheme="minorEastAsia"/>
          <w:sz w:val="24"/>
          <w:szCs w:val="24"/>
        </w:rPr>
        <w:t>接受审查的准备</w:t>
      </w:r>
    </w:p>
    <w:p>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会议时间</w:t>
      </w:r>
      <w:r>
        <w:rPr>
          <w:rStyle w:val="16"/>
          <w:rFonts w:ascii="Times New Roman" w:hAnsi="Times New Roman" w:eastAsiaTheme="minorEastAsia"/>
          <w:sz w:val="24"/>
          <w:szCs w:val="24"/>
          <w:lang w:val="zh-TW"/>
        </w:rPr>
        <w:t>/</w:t>
      </w:r>
      <w:r>
        <w:rPr>
          <w:rFonts w:hint="eastAsia" w:ascii="Times New Roman" w:hAnsi="Times New Roman" w:eastAsiaTheme="minorEastAsia"/>
          <w:sz w:val="24"/>
        </w:rPr>
        <w:t>地点：秘书会通过</w:t>
      </w:r>
      <w:r>
        <w:rPr>
          <w:rFonts w:hint="eastAsia" w:ascii="Times New Roman" w:hAnsi="Times New Roman" w:eastAsiaTheme="minorEastAsia"/>
          <w:sz w:val="24"/>
          <w:lang w:val="en-US"/>
        </w:rPr>
        <w:t>系统、</w:t>
      </w:r>
      <w:r>
        <w:rPr>
          <w:rFonts w:hint="eastAsia" w:ascii="Times New Roman" w:hAnsi="Times New Roman" w:eastAsiaTheme="minorEastAsia"/>
          <w:sz w:val="24"/>
        </w:rPr>
        <w:t>电话</w:t>
      </w:r>
      <w:r>
        <w:rPr>
          <w:rStyle w:val="16"/>
          <w:rFonts w:hint="eastAsia" w:ascii="Times New Roman" w:hAnsi="Times New Roman" w:eastAsiaTheme="minorEastAsia"/>
          <w:sz w:val="24"/>
          <w:szCs w:val="24"/>
          <w:lang w:val="zh-TW"/>
        </w:rPr>
        <w:t>、</w:t>
      </w:r>
      <w:r>
        <w:rPr>
          <w:rFonts w:hint="eastAsia" w:ascii="Times New Roman" w:hAnsi="Times New Roman" w:eastAsiaTheme="minorEastAsia"/>
          <w:sz w:val="24"/>
        </w:rPr>
        <w:t>短信、微信、邮箱等方式通知。</w:t>
      </w:r>
    </w:p>
    <w:p>
      <w:pPr>
        <w:pStyle w:val="30"/>
        <w:numPr>
          <w:ilvl w:val="0"/>
          <w:numId w:val="3"/>
        </w:numPr>
        <w:tabs>
          <w:tab w:val="left" w:pos="5310"/>
        </w:tabs>
        <w:ind w:left="902" w:hanging="420" w:firstLineChars="0"/>
        <w:rPr>
          <w:rStyle w:val="16"/>
          <w:rFonts w:ascii="Times New Roman" w:hAnsi="Times New Roman" w:cs="Courier New" w:eastAsiaTheme="minorEastAsia"/>
          <w:spacing w:val="0"/>
          <w:sz w:val="24"/>
          <w:szCs w:val="24"/>
          <w:shd w:val="clear" w:color="auto" w:fill="auto"/>
          <w:lang w:val="zh-TW"/>
        </w:rPr>
      </w:pPr>
      <w:r>
        <w:rPr>
          <w:rFonts w:hint="eastAsia" w:ascii="Times New Roman" w:hAnsi="Times New Roman" w:eastAsiaTheme="minorEastAsia"/>
          <w:sz w:val="24"/>
        </w:rPr>
        <w:t>准备会议报告：主要研究者准备报告文件，参加会议，提前</w:t>
      </w:r>
      <w:r>
        <w:rPr>
          <w:rStyle w:val="16"/>
          <w:rFonts w:ascii="Times New Roman" w:hAnsi="Times New Roman" w:eastAsiaTheme="minorEastAsia"/>
          <w:sz w:val="24"/>
          <w:szCs w:val="24"/>
          <w:lang w:val="zh-TW"/>
        </w:rPr>
        <w:t>10</w:t>
      </w:r>
      <w:r>
        <w:rPr>
          <w:rFonts w:hint="eastAsia" w:ascii="Times New Roman" w:hAnsi="Times New Roman" w:eastAsiaTheme="minorEastAsia"/>
          <w:sz w:val="24"/>
        </w:rPr>
        <w:t>分钟到达会场。主要研究者因故不能到会报告，应事先向伦理委员会办公室请假，并授权给其他熟悉方案的研究者到会报告。若研究者未到会或到会的研究者不熟悉方案，该项目转入下次会议审查</w:t>
      </w:r>
      <w:r>
        <w:rPr>
          <w:rStyle w:val="16"/>
          <w:rFonts w:hint="eastAsia" w:ascii="Times New Roman" w:hAnsi="Times New Roman" w:eastAsiaTheme="minorEastAsia"/>
          <w:sz w:val="24"/>
          <w:szCs w:val="24"/>
          <w:lang w:val="zh-TW"/>
        </w:rPr>
        <w:t>。</w:t>
      </w:r>
    </w:p>
    <w:p>
      <w:pPr>
        <w:pStyle w:val="27"/>
        <w:shd w:val="clear" w:color="auto" w:fill="auto"/>
        <w:spacing w:before="0" w:line="360" w:lineRule="auto"/>
        <w:ind w:firstLine="482"/>
        <w:jc w:val="both"/>
        <w:rPr>
          <w:rFonts w:ascii="Times New Roman" w:hAnsi="Times New Roman" w:eastAsiaTheme="minorEastAsia"/>
          <w:sz w:val="24"/>
          <w:szCs w:val="24"/>
        </w:rPr>
      </w:pPr>
      <w:r>
        <w:rPr>
          <w:rFonts w:hint="eastAsia" w:ascii="Times New Roman" w:hAnsi="Times New Roman" w:eastAsiaTheme="minorEastAsia"/>
          <w:sz w:val="24"/>
          <w:szCs w:val="24"/>
        </w:rPr>
        <w:t>四、伦理审查的时间</w:t>
      </w:r>
    </w:p>
    <w:p>
      <w:pPr>
        <w:pStyle w:val="15"/>
        <w:shd w:val="clear" w:color="auto" w:fill="auto"/>
        <w:spacing w:before="0" w:line="360" w:lineRule="auto"/>
        <w:ind w:left="20" w:right="220" w:firstLine="480"/>
        <w:jc w:val="both"/>
        <w:rPr>
          <w:rFonts w:ascii="Times New Roman" w:hAnsi="Times New Roman" w:eastAsiaTheme="minorEastAsia"/>
          <w:sz w:val="24"/>
          <w:szCs w:val="24"/>
        </w:rPr>
      </w:pPr>
      <w:r>
        <w:rPr>
          <w:rFonts w:hint="eastAsia" w:ascii="Times New Roman" w:hAnsi="Times New Roman" w:eastAsiaTheme="minorEastAsia"/>
          <w:sz w:val="24"/>
          <w:szCs w:val="24"/>
          <w:highlight w:val="none"/>
        </w:rPr>
        <w:t>伦理委员会每月例行召开审查会议（特殊情况例外），需要时</w:t>
      </w:r>
      <w:r>
        <w:rPr>
          <w:rFonts w:hint="eastAsia" w:ascii="Times New Roman" w:hAnsi="Times New Roman" w:eastAsiaTheme="minorEastAsia"/>
          <w:sz w:val="24"/>
          <w:szCs w:val="24"/>
        </w:rPr>
        <w:t>可以增加审查会议次数。伦理委员会办公室受理送审文件后一般需要</w:t>
      </w:r>
      <w:r>
        <w:rPr>
          <w:rStyle w:val="16"/>
          <w:rFonts w:ascii="Times New Roman" w:hAnsi="Times New Roman" w:eastAsiaTheme="minorEastAsia"/>
          <w:sz w:val="24"/>
          <w:szCs w:val="24"/>
          <w:lang w:val="zh-TW"/>
        </w:rPr>
        <w:t>2</w:t>
      </w:r>
      <w:r>
        <w:rPr>
          <w:rFonts w:hint="eastAsia" w:ascii="Times New Roman" w:hAnsi="Times New Roman" w:eastAsiaTheme="minorEastAsia"/>
          <w:sz w:val="24"/>
          <w:szCs w:val="24"/>
        </w:rPr>
        <w:t>周的时间进行处理，请在会议审查</w:t>
      </w:r>
      <w:r>
        <w:rPr>
          <w:rStyle w:val="16"/>
          <w:rFonts w:ascii="Times New Roman" w:hAnsi="Times New Roman" w:eastAsiaTheme="minorEastAsia"/>
          <w:sz w:val="24"/>
          <w:szCs w:val="24"/>
          <w:lang w:val="zh-TW"/>
        </w:rPr>
        <w:t>2</w:t>
      </w:r>
      <w:r>
        <w:rPr>
          <w:rFonts w:hint="eastAsia" w:ascii="Times New Roman" w:hAnsi="Times New Roman" w:eastAsiaTheme="minorEastAsia"/>
          <w:sz w:val="24"/>
          <w:szCs w:val="24"/>
        </w:rPr>
        <w:t>周前提交送审文件。</w:t>
      </w:r>
    </w:p>
    <w:p>
      <w:pPr>
        <w:pStyle w:val="15"/>
        <w:shd w:val="clear" w:color="auto" w:fill="auto"/>
        <w:spacing w:before="0" w:line="360" w:lineRule="auto"/>
        <w:ind w:left="20" w:right="220" w:firstLine="480"/>
        <w:jc w:val="both"/>
        <w:rPr>
          <w:rFonts w:ascii="Times New Roman" w:hAnsi="Times New Roman" w:eastAsiaTheme="minorEastAsia"/>
          <w:sz w:val="24"/>
          <w:szCs w:val="24"/>
        </w:rPr>
      </w:pPr>
      <w:r>
        <w:rPr>
          <w:rFonts w:hint="eastAsia" w:ascii="Times New Roman" w:hAnsi="Times New Roman" w:eastAsiaTheme="minorEastAsia"/>
          <w:sz w:val="24"/>
          <w:szCs w:val="24"/>
        </w:rPr>
        <w:t>研究过程中出现重大或严重问题，危及受试者安全时，或发生其他需要伦理委员会召开会议进行紧急审查和决定的情况，伦理委员会将召开紧急会议进行审查。</w:t>
      </w:r>
    </w:p>
    <w:p>
      <w:pPr>
        <w:pStyle w:val="27"/>
        <w:shd w:val="clear" w:color="auto" w:fill="auto"/>
        <w:spacing w:before="0" w:line="360" w:lineRule="auto"/>
        <w:ind w:firstLine="482"/>
        <w:jc w:val="both"/>
        <w:rPr>
          <w:rFonts w:ascii="Times New Roman" w:hAnsi="Times New Roman" w:eastAsiaTheme="minorEastAsia"/>
          <w:sz w:val="24"/>
          <w:szCs w:val="24"/>
        </w:rPr>
      </w:pPr>
      <w:r>
        <w:rPr>
          <w:rFonts w:hint="eastAsia" w:ascii="Times New Roman" w:hAnsi="Times New Roman" w:eastAsiaTheme="minorEastAsia"/>
          <w:sz w:val="24"/>
          <w:szCs w:val="24"/>
        </w:rPr>
        <w:t>五、审查决定的传达</w:t>
      </w:r>
    </w:p>
    <w:p>
      <w:pPr>
        <w:pStyle w:val="15"/>
        <w:shd w:val="clear" w:color="auto" w:fill="auto"/>
        <w:spacing w:before="0" w:line="360" w:lineRule="auto"/>
        <w:ind w:left="20" w:right="220" w:firstLine="480"/>
        <w:jc w:val="both"/>
        <w:rPr>
          <w:rFonts w:ascii="Times New Roman" w:hAnsi="Times New Roman" w:eastAsiaTheme="minorEastAsia"/>
          <w:sz w:val="24"/>
          <w:szCs w:val="24"/>
        </w:rPr>
      </w:pPr>
      <w:r>
        <w:rPr>
          <w:rFonts w:hint="eastAsia" w:ascii="Times New Roman" w:hAnsi="Times New Roman" w:eastAsiaTheme="minorEastAsia"/>
          <w:sz w:val="24"/>
          <w:szCs w:val="24"/>
        </w:rPr>
        <w:t>伦理委员会办公室在做出伦理审查决定后</w:t>
      </w:r>
      <w:r>
        <w:rPr>
          <w:rStyle w:val="16"/>
          <w:rFonts w:hint="eastAsia" w:ascii="Times New Roman" w:hAnsi="Times New Roman" w:eastAsiaTheme="minorEastAsia"/>
          <w:sz w:val="24"/>
          <w:szCs w:val="24"/>
        </w:rPr>
        <w:t>10</w:t>
      </w:r>
      <w:r>
        <w:rPr>
          <w:rFonts w:hint="eastAsia" w:ascii="Times New Roman" w:hAnsi="Times New Roman" w:eastAsiaTheme="minorEastAsia"/>
          <w:sz w:val="24"/>
          <w:szCs w:val="24"/>
        </w:rPr>
        <w:t>个工作日内，以</w:t>
      </w:r>
      <w:r>
        <w:rPr>
          <w:rStyle w:val="16"/>
          <w:rFonts w:hint="eastAsia" w:ascii="Times New Roman" w:hAnsi="Times New Roman" w:eastAsiaTheme="minorEastAsia"/>
          <w:sz w:val="24"/>
          <w:szCs w:val="24"/>
          <w:lang w:val="zh-TW"/>
        </w:rPr>
        <w:t>“</w:t>
      </w:r>
      <w:r>
        <w:rPr>
          <w:rFonts w:hint="eastAsia" w:ascii="Times New Roman" w:hAnsi="Times New Roman" w:eastAsiaTheme="minorEastAsia"/>
          <w:sz w:val="24"/>
          <w:szCs w:val="24"/>
        </w:rPr>
        <w:t>伦理审查批件</w:t>
      </w:r>
      <w:r>
        <w:rPr>
          <w:rStyle w:val="16"/>
          <w:rFonts w:hint="eastAsia" w:ascii="Times New Roman" w:hAnsi="Times New Roman" w:eastAsiaTheme="minorEastAsia"/>
          <w:sz w:val="24"/>
          <w:szCs w:val="24"/>
          <w:lang w:val="zh-TW"/>
        </w:rPr>
        <w:t>”</w:t>
      </w:r>
      <w:r>
        <w:rPr>
          <w:rFonts w:hint="eastAsia" w:ascii="Times New Roman" w:hAnsi="Times New Roman" w:eastAsiaTheme="minorEastAsia"/>
          <w:sz w:val="24"/>
          <w:szCs w:val="24"/>
        </w:rPr>
        <w:t>或“伦理审查意见”的书面方式传达审查决定。</w:t>
      </w:r>
    </w:p>
    <w:p>
      <w:pPr>
        <w:pStyle w:val="15"/>
        <w:shd w:val="clear" w:color="auto" w:fill="auto"/>
        <w:spacing w:before="0" w:line="360" w:lineRule="auto"/>
        <w:ind w:left="20" w:right="220" w:firstLine="480"/>
        <w:jc w:val="both"/>
        <w:rPr>
          <w:rFonts w:ascii="Times New Roman" w:hAnsi="Times New Roman" w:eastAsiaTheme="minorEastAsia"/>
          <w:sz w:val="24"/>
          <w:szCs w:val="24"/>
        </w:rPr>
      </w:pPr>
      <w:r>
        <w:rPr>
          <w:rFonts w:ascii="Times New Roman" w:hAnsi="Times New Roman" w:eastAsiaTheme="minorEastAsia"/>
          <w:sz w:val="24"/>
          <w:szCs w:val="24"/>
        </w:rPr>
        <w:t>对伦理审查决定有不同意见，可以向伦理委员会提交复审申请</w:t>
      </w:r>
      <w:r>
        <w:rPr>
          <w:rFonts w:hint="eastAsia" w:ascii="Times New Roman" w:hAnsi="Times New Roman" w:eastAsiaTheme="minorEastAsia"/>
          <w:sz w:val="24"/>
          <w:szCs w:val="24"/>
        </w:rPr>
        <w:t>，</w:t>
      </w:r>
      <w:r>
        <w:rPr>
          <w:rFonts w:ascii="Times New Roman" w:hAnsi="Times New Roman" w:eastAsiaTheme="minorEastAsia"/>
          <w:sz w:val="24"/>
          <w:szCs w:val="24"/>
        </w:rPr>
        <w:t>与伦理委员会委员和办公室沟通交流</w:t>
      </w:r>
      <w:r>
        <w:rPr>
          <w:rFonts w:hint="eastAsia" w:ascii="Times New Roman" w:hAnsi="Times New Roman" w:eastAsiaTheme="minorEastAsia"/>
          <w:sz w:val="24"/>
          <w:szCs w:val="24"/>
        </w:rPr>
        <w:t>。</w:t>
      </w:r>
    </w:p>
    <w:p>
      <w:pPr>
        <w:pStyle w:val="15"/>
        <w:shd w:val="clear" w:color="auto" w:fill="auto"/>
        <w:spacing w:before="0" w:line="360" w:lineRule="auto"/>
        <w:ind w:left="20" w:right="220" w:firstLine="480"/>
        <w:jc w:val="both"/>
        <w:rPr>
          <w:rFonts w:ascii="Times New Roman" w:hAnsi="Times New Roman" w:eastAsiaTheme="minorEastAsia"/>
          <w:sz w:val="24"/>
          <w:szCs w:val="24"/>
        </w:rPr>
      </w:pPr>
      <w:r>
        <w:rPr>
          <w:rFonts w:hint="eastAsia" w:ascii="Times New Roman" w:hAnsi="Times New Roman" w:eastAsiaTheme="minorEastAsia"/>
          <w:sz w:val="24"/>
          <w:szCs w:val="24"/>
        </w:rPr>
        <w:t>对于前置伦理审查，如果审查意见为肯定性决定（批准），由伦理委员会采用伦理审查意见进行传达；待拿到国家药品监督管理局审批意见后，项目申请人可递交无否定意见等相关证明材料后通过“研究进展报告”形式</w:t>
      </w:r>
      <w:r>
        <w:rPr>
          <w:rFonts w:ascii="Times New Roman" w:hAnsi="Times New Roman" w:eastAsiaTheme="minorEastAsia"/>
          <w:sz w:val="24"/>
          <w:szCs w:val="24"/>
        </w:rPr>
        <w:t>领取</w:t>
      </w:r>
      <w:r>
        <w:rPr>
          <w:rFonts w:hint="eastAsia" w:ascii="Times New Roman" w:hAnsi="Times New Roman" w:eastAsiaTheme="minorEastAsia"/>
          <w:sz w:val="24"/>
          <w:szCs w:val="24"/>
        </w:rPr>
        <w:t>伦理审查批件。如果审查意见为否定性决定，以伦理审查意见的形式进行传达。审查决定后10个工作日内完成伦理审查决定的传达。</w:t>
      </w:r>
    </w:p>
    <w:p>
      <w:pPr>
        <w:pStyle w:val="27"/>
        <w:shd w:val="clear" w:color="auto" w:fill="auto"/>
        <w:spacing w:before="0" w:line="360" w:lineRule="auto"/>
        <w:ind w:firstLine="602" w:firstLineChars="250"/>
        <w:jc w:val="both"/>
        <w:rPr>
          <w:rFonts w:ascii="Times New Roman" w:hAnsi="Times New Roman" w:eastAsiaTheme="minorEastAsia"/>
          <w:sz w:val="24"/>
          <w:szCs w:val="24"/>
        </w:rPr>
      </w:pPr>
      <w:r>
        <w:rPr>
          <w:rFonts w:hint="eastAsia" w:ascii="Times New Roman" w:hAnsi="Times New Roman" w:eastAsiaTheme="minorEastAsia"/>
          <w:sz w:val="24"/>
          <w:szCs w:val="24"/>
        </w:rPr>
        <w:t>六、伦理审查的费用</w:t>
      </w:r>
    </w:p>
    <w:p>
      <w:pPr>
        <w:pStyle w:val="15"/>
        <w:shd w:val="clear" w:color="auto" w:fill="auto"/>
        <w:spacing w:before="0" w:line="360" w:lineRule="auto"/>
        <w:ind w:left="150" w:leftChars="50" w:firstLine="480"/>
        <w:jc w:val="both"/>
        <w:rPr>
          <w:rFonts w:ascii="Times New Roman" w:hAnsi="Times New Roman" w:eastAsiaTheme="minorEastAsia"/>
          <w:sz w:val="24"/>
          <w:szCs w:val="24"/>
        </w:rPr>
      </w:pPr>
      <w:r>
        <w:rPr>
          <w:rFonts w:hint="eastAsia" w:ascii="Times New Roman" w:hAnsi="Times New Roman" w:eastAsiaTheme="minorEastAsia"/>
          <w:sz w:val="24"/>
          <w:szCs w:val="24"/>
        </w:rPr>
        <w:t>对于由申办方/研究者自动发起的药物临床试验项目、医疗器械临床试验项目、横向科研项目等，一般初始审查费用为含税</w:t>
      </w:r>
      <w:r>
        <w:rPr>
          <w:rStyle w:val="16"/>
          <w:rFonts w:ascii="Times New Roman" w:hAnsi="Times New Roman" w:eastAsiaTheme="minorEastAsia"/>
          <w:sz w:val="24"/>
          <w:szCs w:val="24"/>
          <w:lang w:val="zh-TW"/>
        </w:rPr>
        <w:t>5000</w:t>
      </w:r>
      <w:r>
        <w:rPr>
          <w:rFonts w:hint="eastAsia" w:ascii="Times New Roman" w:hAnsi="Times New Roman" w:eastAsiaTheme="minorEastAsia"/>
          <w:sz w:val="24"/>
          <w:szCs w:val="24"/>
        </w:rPr>
        <w:t>元人民币（会议审查）和</w:t>
      </w:r>
      <w:r>
        <w:rPr>
          <w:rStyle w:val="16"/>
          <w:rFonts w:ascii="Times New Roman" w:hAnsi="Times New Roman" w:eastAsiaTheme="minorEastAsia"/>
          <w:sz w:val="24"/>
          <w:szCs w:val="24"/>
          <w:lang w:val="zh-TW"/>
        </w:rPr>
        <w:t>1000</w:t>
      </w:r>
      <w:r>
        <w:rPr>
          <w:rFonts w:hint="eastAsia" w:ascii="Times New Roman" w:hAnsi="Times New Roman" w:eastAsiaTheme="minorEastAsia"/>
          <w:sz w:val="24"/>
          <w:szCs w:val="24"/>
        </w:rPr>
        <w:t>元人民币（简易审查），前置伦理审查项目因风险较高按紧急会议审查收费含税8000元人民币；修正案审查为含税</w:t>
      </w:r>
      <w:r>
        <w:rPr>
          <w:rStyle w:val="16"/>
          <w:rFonts w:ascii="Times New Roman" w:hAnsi="Times New Roman" w:eastAsiaTheme="minorEastAsia"/>
          <w:sz w:val="24"/>
          <w:szCs w:val="24"/>
          <w:lang w:val="zh-TW"/>
        </w:rPr>
        <w:t>1000</w:t>
      </w:r>
      <w:r>
        <w:rPr>
          <w:rFonts w:hint="eastAsia" w:ascii="Times New Roman" w:hAnsi="Times New Roman" w:eastAsiaTheme="minorEastAsia"/>
          <w:sz w:val="24"/>
          <w:szCs w:val="24"/>
        </w:rPr>
        <w:t>元人民币/次（简易审查）和含税</w:t>
      </w:r>
      <w:r>
        <w:rPr>
          <w:rStyle w:val="16"/>
          <w:rFonts w:hint="eastAsia" w:ascii="Times New Roman" w:hAnsi="Times New Roman" w:eastAsiaTheme="minorEastAsia"/>
          <w:sz w:val="24"/>
          <w:szCs w:val="24"/>
        </w:rPr>
        <w:t>5</w:t>
      </w:r>
      <w:r>
        <w:rPr>
          <w:rStyle w:val="16"/>
          <w:rFonts w:ascii="Times New Roman" w:hAnsi="Times New Roman" w:eastAsiaTheme="minorEastAsia"/>
          <w:sz w:val="24"/>
          <w:szCs w:val="24"/>
          <w:lang w:val="zh-TW"/>
        </w:rPr>
        <w:t>000</w:t>
      </w:r>
      <w:r>
        <w:rPr>
          <w:rFonts w:hint="eastAsia" w:ascii="Times New Roman" w:hAnsi="Times New Roman" w:eastAsiaTheme="minorEastAsia"/>
          <w:sz w:val="24"/>
          <w:szCs w:val="24"/>
        </w:rPr>
        <w:t>元人民币/次（会议审查）；违背方案审查为含税</w:t>
      </w:r>
      <w:r>
        <w:rPr>
          <w:rStyle w:val="16"/>
          <w:rFonts w:ascii="Times New Roman" w:hAnsi="Times New Roman" w:eastAsiaTheme="minorEastAsia"/>
          <w:sz w:val="24"/>
          <w:szCs w:val="24"/>
          <w:lang w:val="zh-TW"/>
        </w:rPr>
        <w:t>1000</w:t>
      </w:r>
      <w:r>
        <w:rPr>
          <w:rFonts w:hint="eastAsia" w:ascii="Times New Roman" w:hAnsi="Times New Roman" w:eastAsiaTheme="minorEastAsia"/>
          <w:sz w:val="24"/>
          <w:szCs w:val="24"/>
        </w:rPr>
        <w:t>元人民币/次；严重不良事件审查为含税</w:t>
      </w:r>
      <w:r>
        <w:rPr>
          <w:rStyle w:val="16"/>
          <w:rFonts w:ascii="Times New Roman" w:hAnsi="Times New Roman" w:eastAsiaTheme="minorEastAsia"/>
          <w:sz w:val="24"/>
          <w:szCs w:val="24"/>
          <w:lang w:val="zh-TW"/>
        </w:rPr>
        <w:t>1000</w:t>
      </w:r>
      <w:r>
        <w:rPr>
          <w:rFonts w:hint="eastAsia" w:ascii="Times New Roman" w:hAnsi="Times New Roman" w:eastAsiaTheme="minorEastAsia"/>
          <w:sz w:val="24"/>
          <w:szCs w:val="24"/>
        </w:rPr>
        <w:t>元人民币/次，其余审查均不收费。</w:t>
      </w:r>
    </w:p>
    <w:p>
      <w:pPr>
        <w:pStyle w:val="15"/>
        <w:shd w:val="clear" w:color="auto" w:fill="auto"/>
        <w:spacing w:before="0" w:line="360" w:lineRule="auto"/>
        <w:ind w:left="150" w:leftChars="50" w:firstLine="480"/>
        <w:jc w:val="both"/>
        <w:rPr>
          <w:rFonts w:ascii="Times New Roman" w:hAnsi="Times New Roman" w:eastAsiaTheme="minorEastAsia"/>
          <w:sz w:val="24"/>
          <w:szCs w:val="24"/>
        </w:rPr>
      </w:pPr>
      <w:r>
        <w:rPr>
          <w:rFonts w:hint="eastAsia" w:ascii="Times New Roman" w:hAnsi="Times New Roman" w:eastAsiaTheme="minorEastAsia"/>
          <w:sz w:val="24"/>
          <w:szCs w:val="24"/>
        </w:rPr>
        <w:t>伦理审查费归医院财务部门统一管理。</w:t>
      </w:r>
    </w:p>
    <w:p>
      <w:pPr>
        <w:pStyle w:val="27"/>
        <w:shd w:val="clear" w:color="auto" w:fill="auto"/>
        <w:spacing w:before="0" w:line="360" w:lineRule="auto"/>
        <w:ind w:firstLine="602" w:firstLineChars="250"/>
        <w:jc w:val="both"/>
        <w:rPr>
          <w:rFonts w:ascii="Times New Roman" w:hAnsi="Times New Roman" w:eastAsiaTheme="minorEastAsia"/>
          <w:sz w:val="24"/>
          <w:szCs w:val="24"/>
        </w:rPr>
      </w:pPr>
      <w:r>
        <w:rPr>
          <w:rFonts w:hint="eastAsia" w:ascii="Times New Roman" w:hAnsi="Times New Roman" w:eastAsiaTheme="minorEastAsia"/>
          <w:sz w:val="24"/>
          <w:szCs w:val="24"/>
        </w:rPr>
        <w:t>七、免除审查</w:t>
      </w:r>
    </w:p>
    <w:p>
      <w:pPr>
        <w:pStyle w:val="15"/>
        <w:shd w:val="clear" w:color="auto" w:fill="auto"/>
        <w:spacing w:before="0" w:line="360" w:lineRule="auto"/>
        <w:ind w:firstLine="600" w:firstLineChars="250"/>
        <w:jc w:val="both"/>
        <w:rPr>
          <w:rFonts w:ascii="Times New Roman" w:hAnsi="Times New Roman" w:eastAsiaTheme="minorEastAsia"/>
          <w:sz w:val="24"/>
          <w:szCs w:val="24"/>
        </w:rPr>
      </w:pPr>
      <w:r>
        <w:rPr>
          <w:rFonts w:hint="eastAsia" w:ascii="Times New Roman" w:hAnsi="Times New Roman" w:eastAsiaTheme="minorEastAsia"/>
          <w:sz w:val="24"/>
          <w:szCs w:val="24"/>
        </w:rPr>
        <w:t>符合以下情况的生物医学研究项目可以免除审查：</w:t>
      </w:r>
    </w:p>
    <w:p>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在正常的教育、培训环境下开展的研究，如：</w:t>
      </w:r>
      <w:r>
        <w:rPr>
          <w:rFonts w:hint="eastAsia" w:ascii="宋体" w:hAnsi="宋体" w:eastAsia="宋体" w:cs="宋体"/>
          <w:sz w:val="24"/>
        </w:rPr>
        <w:t>①</w:t>
      </w:r>
      <w:r>
        <w:rPr>
          <w:rFonts w:hint="eastAsia" w:ascii="Times New Roman" w:hAnsi="Times New Roman" w:eastAsiaTheme="minorEastAsia"/>
          <w:sz w:val="24"/>
        </w:rPr>
        <w:t>对常规和特殊教学方法的研究；</w:t>
      </w:r>
      <w:r>
        <w:rPr>
          <w:rFonts w:hint="eastAsia" w:ascii="宋体" w:hAnsi="宋体" w:eastAsia="宋体" w:cs="宋体"/>
          <w:sz w:val="24"/>
        </w:rPr>
        <w:t>②</w:t>
      </w:r>
      <w:r>
        <w:rPr>
          <w:rFonts w:hint="eastAsia" w:ascii="Times New Roman" w:hAnsi="Times New Roman" w:eastAsiaTheme="minorEastAsia"/>
          <w:sz w:val="24"/>
        </w:rPr>
        <w:t>关于教学方法、课程或课堂管理的效果研究，或对不同的教学方法、课程或课堂管理进行对比研究。</w:t>
      </w:r>
    </w:p>
    <w:p>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涉及教育、培训测试（认知、判断、态度、成效</w:t>
      </w:r>
      <w:r>
        <w:rPr>
          <w:rFonts w:ascii="Times New Roman" w:hAnsi="Times New Roman" w:eastAsiaTheme="minorEastAsia"/>
          <w:sz w:val="24"/>
        </w:rPr>
        <w:t>)</w:t>
      </w:r>
      <w:r>
        <w:rPr>
          <w:rFonts w:hint="eastAsia" w:ascii="Times New Roman" w:hAnsi="Times New Roman" w:eastAsiaTheme="minorEastAsia"/>
          <w:sz w:val="24"/>
        </w:rPr>
        <w:t>、访谈调查、或公共行为观察的研究。</w:t>
      </w:r>
    </w:p>
    <w:p>
      <w:pPr>
        <w:pStyle w:val="27"/>
        <w:numPr>
          <w:ilvl w:val="0"/>
          <w:numId w:val="4"/>
        </w:numPr>
        <w:shd w:val="clear" w:color="auto" w:fill="auto"/>
        <w:spacing w:before="0" w:line="360" w:lineRule="auto"/>
        <w:ind w:left="1361" w:right="62" w:hanging="454" w:firstLineChars="0"/>
        <w:jc w:val="both"/>
        <w:rPr>
          <w:rFonts w:ascii="Times New Roman" w:hAnsi="Times New Roman" w:eastAsiaTheme="minorEastAsia"/>
          <w:b w:val="0"/>
          <w:bCs w:val="0"/>
          <w:sz w:val="24"/>
          <w:szCs w:val="24"/>
        </w:rPr>
      </w:pPr>
      <w:r>
        <w:rPr>
          <w:rFonts w:hint="eastAsia" w:ascii="Times New Roman" w:hAnsi="Times New Roman" w:eastAsiaTheme="minorEastAsia"/>
          <w:b w:val="0"/>
          <w:bCs w:val="0"/>
          <w:sz w:val="24"/>
          <w:szCs w:val="24"/>
        </w:rPr>
        <w:t>以下情况不能免除审查：</w:t>
      </w:r>
      <w:r>
        <w:rPr>
          <w:rFonts w:hint="eastAsia" w:ascii="宋体" w:hAnsi="宋体" w:eastAsia="宋体" w:cs="宋体"/>
          <w:b w:val="0"/>
          <w:bCs w:val="0"/>
          <w:sz w:val="24"/>
          <w:szCs w:val="24"/>
        </w:rPr>
        <w:t>①</w:t>
      </w:r>
      <w:r>
        <w:rPr>
          <w:rFonts w:hint="eastAsia" w:ascii="Times New Roman" w:hAnsi="Times New Roman" w:eastAsiaTheme="minorEastAsia"/>
          <w:b w:val="0"/>
          <w:bCs w:val="0"/>
          <w:sz w:val="24"/>
          <w:szCs w:val="24"/>
        </w:rPr>
        <w:t>以直接或通过标识符的方式记录受试者信息；</w:t>
      </w:r>
      <w:r>
        <w:rPr>
          <w:rFonts w:hint="eastAsia" w:ascii="宋体" w:hAnsi="宋体" w:eastAsia="宋体" w:cs="宋体"/>
          <w:b w:val="0"/>
          <w:bCs w:val="0"/>
          <w:sz w:val="24"/>
          <w:szCs w:val="24"/>
        </w:rPr>
        <w:t>②</w:t>
      </w:r>
      <w:r>
        <w:rPr>
          <w:rFonts w:hint="eastAsia" w:ascii="Times New Roman" w:hAnsi="Times New Roman" w:eastAsiaTheme="minorEastAsia"/>
          <w:b w:val="0"/>
          <w:bCs w:val="0"/>
          <w:sz w:val="24"/>
          <w:szCs w:val="24"/>
        </w:rPr>
        <w:t>在研究以外公开受试者信息可能会让受试者承担刑事或民事责任的风险，或损害受试者的经济、就业或名誉；</w:t>
      </w:r>
      <w:r>
        <w:rPr>
          <w:rFonts w:hint="eastAsia" w:ascii="宋体" w:hAnsi="宋体" w:eastAsia="宋体" w:cs="宋体"/>
          <w:b w:val="0"/>
          <w:bCs w:val="0"/>
          <w:sz w:val="24"/>
          <w:szCs w:val="24"/>
        </w:rPr>
        <w:t>③</w:t>
      </w:r>
      <w:r>
        <w:rPr>
          <w:rFonts w:hint="eastAsia" w:ascii="Times New Roman" w:hAnsi="Times New Roman" w:eastAsiaTheme="minorEastAsia"/>
          <w:b w:val="0"/>
          <w:bCs w:val="0"/>
          <w:sz w:val="24"/>
          <w:szCs w:val="24"/>
        </w:rPr>
        <w:t>上述不能免除审查的情况，如果受试者为政府官员或政府官员候选人，或者国家有关法规要求在研究过程中及研究后对私人信息必須保密的情况，则可以免除审查。</w:t>
      </w:r>
    </w:p>
    <w:p>
      <w:pPr>
        <w:pStyle w:val="27"/>
        <w:numPr>
          <w:ilvl w:val="0"/>
          <w:numId w:val="4"/>
        </w:numPr>
        <w:shd w:val="clear" w:color="auto" w:fill="auto"/>
        <w:spacing w:before="0" w:line="360" w:lineRule="auto"/>
        <w:ind w:left="1361" w:right="62" w:hanging="454" w:firstLineChars="0"/>
        <w:jc w:val="both"/>
        <w:rPr>
          <w:rFonts w:ascii="Times New Roman" w:hAnsi="Times New Roman" w:eastAsiaTheme="minorEastAsia"/>
          <w:b w:val="0"/>
          <w:bCs w:val="0"/>
          <w:sz w:val="24"/>
          <w:szCs w:val="24"/>
        </w:rPr>
      </w:pPr>
      <w:r>
        <w:rPr>
          <w:rFonts w:hint="eastAsia" w:ascii="Times New Roman" w:hAnsi="Times New Roman" w:eastAsiaTheme="minorEastAsia"/>
          <w:b w:val="0"/>
          <w:bCs w:val="0"/>
          <w:sz w:val="24"/>
          <w:szCs w:val="24"/>
        </w:rPr>
        <w:t>“涉及访谈调查，公共行为观察的研究”的免除审查一般不适用于儿童与未成年人，除非研究者不参与被观察的公共行为。</w:t>
      </w:r>
    </w:p>
    <w:p>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对于既往存档的数据、文件、记录、病理标本或诊断标本的收集或研究</w:t>
      </w:r>
      <w:r>
        <w:rPr>
          <w:rFonts w:hint="eastAsia" w:ascii="Times New Roman" w:hAnsi="Times New Roman" w:eastAsiaTheme="minorEastAsia"/>
          <w:bCs/>
          <w:sz w:val="24"/>
        </w:rPr>
        <w:t>，</w:t>
      </w:r>
      <w:r>
        <w:rPr>
          <w:rFonts w:hint="eastAsia" w:ascii="Times New Roman" w:hAnsi="Times New Roman" w:eastAsiaTheme="minorEastAsia"/>
          <w:sz w:val="24"/>
        </w:rPr>
        <w:t>并且这些资源是公共资源，或者是以研究者无法联系受试者的方式（直接联系或通过标识符）记录信息的。</w:t>
      </w:r>
    </w:p>
    <w:p>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食品口味和质量评价以及消费者接受性研究：</w:t>
      </w:r>
      <w:r>
        <w:rPr>
          <w:rFonts w:hint="eastAsia" w:ascii="宋体" w:hAnsi="宋体" w:eastAsia="宋体" w:cs="宋体"/>
          <w:sz w:val="24"/>
        </w:rPr>
        <w:t>①</w:t>
      </w:r>
      <w:r>
        <w:rPr>
          <w:rFonts w:hint="eastAsia" w:ascii="Times New Roman" w:hAnsi="Times New Roman" w:eastAsiaTheme="minorEastAsia"/>
          <w:sz w:val="24"/>
        </w:rPr>
        <w:t>研究用健康食品不含添加剂；或</w:t>
      </w:r>
      <w:r>
        <w:rPr>
          <w:rFonts w:hint="eastAsia" w:ascii="宋体" w:hAnsi="宋体" w:eastAsia="宋体" w:cs="宋体"/>
          <w:sz w:val="24"/>
        </w:rPr>
        <w:t>②</w:t>
      </w:r>
      <w:r>
        <w:rPr>
          <w:rFonts w:hint="eastAsia" w:ascii="Times New Roman" w:hAnsi="Times New Roman" w:eastAsiaTheme="minorEastAsia"/>
          <w:sz w:val="24"/>
        </w:rPr>
        <w:t>研究用食品所含食品添加剂在安全范围，且不超过国家有关部门标准，或化学农药或环境污染物含量不超出国家有关部门的安全范围</w:t>
      </w:r>
      <w:r>
        <w:rPr>
          <w:rFonts w:hint="eastAsia" w:ascii="Times New Roman" w:hAnsi="Times New Roman" w:eastAsiaTheme="minorEastAsia"/>
          <w:bCs/>
          <w:sz w:val="24"/>
        </w:rPr>
        <w:t>。</w:t>
      </w:r>
    </w:p>
    <w:p>
      <w:pPr>
        <w:pStyle w:val="27"/>
        <w:shd w:val="clear" w:color="auto" w:fill="auto"/>
        <w:spacing w:before="0" w:line="360" w:lineRule="auto"/>
        <w:ind w:left="20" w:right="60" w:firstLine="480"/>
        <w:jc w:val="left"/>
        <w:rPr>
          <w:rFonts w:ascii="Times New Roman" w:hAnsi="Times New Roman" w:eastAsiaTheme="minorEastAsia"/>
          <w:b w:val="0"/>
          <w:bCs w:val="0"/>
          <w:sz w:val="24"/>
          <w:szCs w:val="24"/>
        </w:rPr>
      </w:pPr>
      <w:r>
        <w:rPr>
          <w:rFonts w:hint="eastAsia" w:ascii="Times New Roman" w:hAnsi="Times New Roman" w:eastAsiaTheme="minorEastAsia"/>
          <w:b w:val="0"/>
          <w:bCs w:val="0"/>
          <w:sz w:val="24"/>
          <w:szCs w:val="24"/>
        </w:rPr>
        <w:t>关于特殊受试人群免除审查的规定：免除审查不适用于涉及孕妇、胎儿、新生儿、试管婴儿、精神障碍人员和服刑劳教人员的研究。</w:t>
      </w:r>
    </w:p>
    <w:p>
      <w:pPr>
        <w:pStyle w:val="27"/>
        <w:shd w:val="clear" w:color="auto" w:fill="auto"/>
        <w:spacing w:before="0" w:line="360" w:lineRule="auto"/>
        <w:ind w:left="20" w:right="60" w:firstLine="480"/>
        <w:jc w:val="left"/>
        <w:rPr>
          <w:rFonts w:ascii="Times New Roman" w:hAnsi="Times New Roman" w:eastAsiaTheme="minorEastAsia"/>
          <w:b w:val="0"/>
          <w:bCs w:val="0"/>
          <w:sz w:val="24"/>
          <w:szCs w:val="24"/>
        </w:rPr>
      </w:pPr>
      <w:r>
        <w:rPr>
          <w:rFonts w:hint="eastAsia" w:ascii="Times New Roman" w:hAnsi="Times New Roman" w:eastAsiaTheme="minorEastAsia"/>
          <w:b w:val="0"/>
          <w:bCs w:val="0"/>
          <w:sz w:val="24"/>
          <w:szCs w:val="24"/>
        </w:rPr>
        <w:t>研究者不能自行做出</w:t>
      </w:r>
      <w:r>
        <w:rPr>
          <w:rFonts w:ascii="Times New Roman" w:hAnsi="Times New Roman" w:eastAsiaTheme="minorEastAsia"/>
          <w:b w:val="0"/>
          <w:sz w:val="24"/>
          <w:szCs w:val="24"/>
        </w:rPr>
        <w:t>“</w:t>
      </w:r>
      <w:r>
        <w:rPr>
          <w:rFonts w:hint="eastAsia" w:ascii="Times New Roman" w:hAnsi="Times New Roman" w:eastAsiaTheme="minorEastAsia"/>
          <w:b w:val="0"/>
          <w:bCs w:val="0"/>
          <w:sz w:val="24"/>
          <w:szCs w:val="24"/>
        </w:rPr>
        <w:t>免除伦理审查</w:t>
      </w:r>
      <w:r>
        <w:rPr>
          <w:rFonts w:ascii="Times New Roman" w:hAnsi="Times New Roman" w:eastAsiaTheme="minorEastAsia"/>
          <w:b w:val="0"/>
          <w:sz w:val="24"/>
          <w:szCs w:val="24"/>
        </w:rPr>
        <w:t>”</w:t>
      </w:r>
      <w:r>
        <w:rPr>
          <w:rFonts w:hint="eastAsia" w:ascii="Times New Roman" w:hAnsi="Times New Roman" w:eastAsiaTheme="minorEastAsia"/>
          <w:b w:val="0"/>
          <w:bCs w:val="0"/>
          <w:sz w:val="24"/>
          <w:szCs w:val="24"/>
        </w:rPr>
        <w:t>的判断，应向研究伦理委员会提交免除审查申请表，以及研究方案等相关材料，由伦理委员会主任或授权者审核确定。</w:t>
      </w:r>
    </w:p>
    <w:p>
      <w:pPr>
        <w:pStyle w:val="27"/>
        <w:shd w:val="clear" w:color="auto" w:fill="auto"/>
        <w:spacing w:before="0" w:line="360" w:lineRule="auto"/>
        <w:ind w:firstLine="482"/>
        <w:jc w:val="both"/>
        <w:rPr>
          <w:rFonts w:ascii="Times New Roman" w:hAnsi="Times New Roman" w:eastAsiaTheme="minorEastAsia"/>
          <w:sz w:val="24"/>
          <w:szCs w:val="24"/>
        </w:rPr>
      </w:pPr>
      <w:r>
        <w:rPr>
          <w:rFonts w:hint="eastAsia" w:ascii="Times New Roman" w:hAnsi="Times New Roman" w:eastAsiaTheme="minorEastAsia"/>
          <w:sz w:val="24"/>
          <w:szCs w:val="24"/>
        </w:rPr>
        <w:t>八、免除知情同意</w:t>
      </w:r>
    </w:p>
    <w:p>
      <w:pPr>
        <w:pStyle w:val="27"/>
        <w:numPr>
          <w:ilvl w:val="0"/>
          <w:numId w:val="5"/>
        </w:numPr>
        <w:shd w:val="clear" w:color="auto" w:fill="auto"/>
        <w:spacing w:before="0" w:line="360" w:lineRule="auto"/>
        <w:ind w:left="20" w:right="60" w:firstLine="480"/>
        <w:jc w:val="left"/>
        <w:rPr>
          <w:rFonts w:ascii="Times New Roman" w:hAnsi="Times New Roman" w:eastAsiaTheme="minorEastAsia"/>
          <w:b w:val="0"/>
          <w:sz w:val="24"/>
          <w:szCs w:val="24"/>
        </w:rPr>
      </w:pPr>
      <w:r>
        <w:rPr>
          <w:rFonts w:hint="eastAsia" w:ascii="Times New Roman" w:hAnsi="Times New Roman" w:eastAsiaTheme="minorEastAsia"/>
          <w:b w:val="0"/>
          <w:sz w:val="24"/>
          <w:szCs w:val="24"/>
        </w:rPr>
        <w:t>利用以往临床诊疗中获得的医疗记录和生物标本的研究，并且符合以下全部条件，可以申请免除知情同意：</w:t>
      </w:r>
    </w:p>
    <w:p>
      <w:pPr>
        <w:pStyle w:val="30"/>
        <w:numPr>
          <w:ilvl w:val="0"/>
          <w:numId w:val="3"/>
        </w:numPr>
        <w:tabs>
          <w:tab w:val="left" w:pos="5310"/>
        </w:tabs>
        <w:ind w:left="902" w:hanging="420" w:firstLineChars="0"/>
        <w:rPr>
          <w:rFonts w:ascii="Times New Roman" w:hAnsi="Times New Roman" w:eastAsiaTheme="minorEastAsia"/>
          <w:b/>
          <w:sz w:val="24"/>
        </w:rPr>
      </w:pPr>
      <w:r>
        <w:rPr>
          <w:rFonts w:hint="eastAsia" w:ascii="Times New Roman" w:hAnsi="Times New Roman" w:eastAsiaTheme="minorEastAsia"/>
          <w:sz w:val="24"/>
        </w:rPr>
        <w:t>研究目的是重要的。</w:t>
      </w:r>
    </w:p>
    <w:p>
      <w:pPr>
        <w:pStyle w:val="30"/>
        <w:numPr>
          <w:ilvl w:val="0"/>
          <w:numId w:val="3"/>
        </w:numPr>
        <w:tabs>
          <w:tab w:val="left" w:pos="5310"/>
        </w:tabs>
        <w:ind w:left="902" w:hanging="420" w:firstLineChars="0"/>
        <w:rPr>
          <w:rFonts w:ascii="Times New Roman" w:hAnsi="Times New Roman" w:eastAsiaTheme="minorEastAsia"/>
          <w:b/>
          <w:sz w:val="24"/>
        </w:rPr>
      </w:pPr>
      <w:r>
        <w:rPr>
          <w:rFonts w:hint="eastAsia" w:ascii="Times New Roman" w:hAnsi="Times New Roman" w:eastAsiaTheme="minorEastAsia"/>
          <w:sz w:val="24"/>
        </w:rPr>
        <w:t>研究对受试者的风险不大于最小风险。</w:t>
      </w:r>
    </w:p>
    <w:p>
      <w:pPr>
        <w:pStyle w:val="30"/>
        <w:numPr>
          <w:ilvl w:val="0"/>
          <w:numId w:val="3"/>
        </w:numPr>
        <w:tabs>
          <w:tab w:val="left" w:pos="5310"/>
        </w:tabs>
        <w:ind w:left="902" w:hanging="420" w:firstLineChars="0"/>
        <w:rPr>
          <w:rFonts w:ascii="Times New Roman" w:hAnsi="Times New Roman" w:eastAsiaTheme="minorEastAsia"/>
          <w:b/>
          <w:sz w:val="24"/>
        </w:rPr>
      </w:pPr>
      <w:r>
        <w:rPr>
          <w:rFonts w:hint="eastAsia" w:ascii="Times New Roman" w:hAnsi="Times New Roman" w:eastAsiaTheme="minorEastAsia"/>
          <w:sz w:val="24"/>
        </w:rPr>
        <w:t>免除知情同意不会对受试者的权利和健康产生不利的影响。</w:t>
      </w:r>
    </w:p>
    <w:p>
      <w:pPr>
        <w:pStyle w:val="30"/>
        <w:numPr>
          <w:ilvl w:val="0"/>
          <w:numId w:val="3"/>
        </w:numPr>
        <w:tabs>
          <w:tab w:val="left" w:pos="5310"/>
        </w:tabs>
        <w:ind w:left="902" w:hanging="420" w:firstLineChars="0"/>
        <w:rPr>
          <w:rFonts w:ascii="Times New Roman" w:hAnsi="Times New Roman" w:eastAsiaTheme="minorEastAsia"/>
          <w:b/>
          <w:sz w:val="24"/>
        </w:rPr>
      </w:pPr>
      <w:r>
        <w:rPr>
          <w:rFonts w:hint="eastAsia" w:ascii="Times New Roman" w:hAnsi="Times New Roman" w:eastAsiaTheme="minorEastAsia"/>
          <w:sz w:val="24"/>
        </w:rPr>
        <w:t>受试者的隐私和个人身份信息得到保护。</w:t>
      </w:r>
    </w:p>
    <w:p>
      <w:pPr>
        <w:pStyle w:val="30"/>
        <w:numPr>
          <w:ilvl w:val="0"/>
          <w:numId w:val="3"/>
        </w:numPr>
        <w:tabs>
          <w:tab w:val="left" w:pos="5310"/>
        </w:tabs>
        <w:ind w:left="902" w:hanging="420" w:firstLineChars="0"/>
        <w:rPr>
          <w:rFonts w:ascii="Times New Roman" w:hAnsi="Times New Roman" w:eastAsiaTheme="minorEastAsia"/>
          <w:b/>
          <w:sz w:val="24"/>
        </w:rPr>
      </w:pPr>
      <w:r>
        <w:rPr>
          <w:rFonts w:hint="eastAsia" w:ascii="Times New Roman" w:hAnsi="Times New Roman" w:eastAsiaTheme="minorEastAsia"/>
          <w:sz w:val="24"/>
        </w:rPr>
        <w:t>若规定需获取知情同意，研究将无法进行（病人</w:t>
      </w:r>
      <w:r>
        <w:rPr>
          <w:rStyle w:val="16"/>
          <w:rFonts w:ascii="Times New Roman" w:hAnsi="Times New Roman" w:eastAsiaTheme="minorEastAsia"/>
          <w:sz w:val="24"/>
          <w:szCs w:val="24"/>
          <w:lang w:val="zh-TW"/>
        </w:rPr>
        <w:t>/</w:t>
      </w:r>
      <w:r>
        <w:rPr>
          <w:rFonts w:hint="eastAsia" w:ascii="Times New Roman" w:hAnsi="Times New Roman" w:eastAsiaTheme="minorEastAsia"/>
          <w:sz w:val="24"/>
        </w:rPr>
        <w:t>受试者拒绝或不同意参加研究，不是研究无法实施、免除知情同意的理由）。</w:t>
      </w:r>
    </w:p>
    <w:p>
      <w:pPr>
        <w:pStyle w:val="30"/>
        <w:numPr>
          <w:ilvl w:val="0"/>
          <w:numId w:val="3"/>
        </w:numPr>
        <w:tabs>
          <w:tab w:val="left" w:pos="5310"/>
        </w:tabs>
        <w:ind w:left="902" w:hanging="420" w:firstLineChars="0"/>
        <w:rPr>
          <w:rFonts w:ascii="Times New Roman" w:hAnsi="Times New Roman" w:eastAsiaTheme="minorEastAsia"/>
          <w:b/>
          <w:sz w:val="24"/>
        </w:rPr>
      </w:pPr>
      <w:r>
        <w:rPr>
          <w:rFonts w:hint="eastAsia" w:ascii="Times New Roman" w:hAnsi="Times New Roman" w:eastAsiaTheme="minorEastAsia"/>
          <w:sz w:val="24"/>
        </w:rPr>
        <w:t>只要有可能，应在研究后的适当时候向受试者提供适当的有关信息。</w:t>
      </w:r>
    </w:p>
    <w:p>
      <w:pPr>
        <w:pStyle w:val="27"/>
        <w:shd w:val="clear" w:color="auto" w:fill="auto"/>
        <w:spacing w:before="0" w:line="360" w:lineRule="auto"/>
        <w:ind w:left="20" w:right="60" w:firstLine="480"/>
        <w:jc w:val="left"/>
        <w:rPr>
          <w:rFonts w:ascii="Times New Roman" w:hAnsi="Times New Roman" w:eastAsiaTheme="minorEastAsia"/>
          <w:b w:val="0"/>
          <w:sz w:val="24"/>
          <w:szCs w:val="24"/>
        </w:rPr>
      </w:pPr>
      <w:r>
        <w:rPr>
          <w:rFonts w:hint="eastAsia" w:ascii="Times New Roman" w:hAnsi="Times New Roman" w:eastAsiaTheme="minorEastAsia"/>
          <w:b w:val="0"/>
          <w:sz w:val="24"/>
          <w:szCs w:val="24"/>
        </w:rPr>
        <w:t>若病人</w:t>
      </w:r>
      <w:r>
        <w:rPr>
          <w:rStyle w:val="16"/>
          <w:rFonts w:ascii="Times New Roman" w:hAnsi="Times New Roman" w:eastAsiaTheme="minorEastAsia"/>
          <w:sz w:val="24"/>
          <w:szCs w:val="24"/>
          <w:lang w:val="zh-TW"/>
        </w:rPr>
        <w:t>/</w:t>
      </w:r>
      <w:r>
        <w:rPr>
          <w:rFonts w:hint="eastAsia" w:ascii="Times New Roman" w:hAnsi="Times New Roman" w:eastAsiaTheme="minorEastAsia"/>
          <w:b w:val="0"/>
          <w:sz w:val="24"/>
          <w:szCs w:val="24"/>
        </w:rPr>
        <w:t>受试者先前已明确拒绝在将来的研究中使用其医疗记录和标本，则该受试者的医疗记录和标本只有在公共卫生紧急情况需要时才可被使用。</w:t>
      </w:r>
    </w:p>
    <w:p>
      <w:pPr>
        <w:pStyle w:val="27"/>
        <w:numPr>
          <w:ilvl w:val="0"/>
          <w:numId w:val="5"/>
        </w:numPr>
        <w:shd w:val="clear" w:color="auto" w:fill="auto"/>
        <w:spacing w:before="0" w:line="360" w:lineRule="auto"/>
        <w:ind w:left="20" w:right="60" w:firstLine="480"/>
        <w:jc w:val="left"/>
        <w:rPr>
          <w:rFonts w:ascii="Times New Roman" w:hAnsi="Times New Roman" w:eastAsiaTheme="minorEastAsia"/>
          <w:b w:val="0"/>
          <w:sz w:val="24"/>
          <w:szCs w:val="24"/>
        </w:rPr>
      </w:pPr>
      <w:r>
        <w:rPr>
          <w:rFonts w:hint="eastAsia" w:ascii="Times New Roman" w:hAnsi="Times New Roman" w:eastAsiaTheme="minorEastAsia"/>
          <w:b w:val="0"/>
          <w:sz w:val="24"/>
          <w:szCs w:val="24"/>
        </w:rPr>
        <w:t>利用以往研究中获得的医疗记录和生物标本的研究（研究病历</w:t>
      </w:r>
      <w:r>
        <w:rPr>
          <w:rStyle w:val="16"/>
          <w:rFonts w:ascii="Times New Roman" w:hAnsi="Times New Roman" w:eastAsiaTheme="minorEastAsia"/>
          <w:sz w:val="24"/>
          <w:szCs w:val="24"/>
          <w:lang w:val="zh-TW"/>
        </w:rPr>
        <w:t>/</w:t>
      </w:r>
      <w:r>
        <w:rPr>
          <w:rFonts w:hint="eastAsia" w:ascii="Times New Roman" w:hAnsi="Times New Roman" w:eastAsiaTheme="minorEastAsia"/>
          <w:b w:val="0"/>
          <w:sz w:val="24"/>
          <w:szCs w:val="24"/>
        </w:rPr>
        <w:t>生物标本的二次利用），并且符合以下全部条件，可以申请免除知情同意，</w:t>
      </w:r>
    </w:p>
    <w:p>
      <w:pPr>
        <w:pStyle w:val="30"/>
        <w:numPr>
          <w:ilvl w:val="0"/>
          <w:numId w:val="3"/>
        </w:numPr>
        <w:tabs>
          <w:tab w:val="left" w:pos="5310"/>
        </w:tabs>
        <w:ind w:left="902" w:hanging="420" w:firstLineChars="0"/>
        <w:rPr>
          <w:rFonts w:ascii="Times New Roman" w:hAnsi="Times New Roman" w:eastAsiaTheme="minorEastAsia"/>
          <w:b/>
          <w:sz w:val="24"/>
        </w:rPr>
      </w:pPr>
      <w:r>
        <w:rPr>
          <w:rFonts w:hint="eastAsia" w:ascii="Times New Roman" w:hAnsi="Times New Roman" w:eastAsiaTheme="minorEastAsia"/>
          <w:sz w:val="24"/>
        </w:rPr>
        <w:t>以往研究已获得受试者的书面同意，允许其他的研究项</w:t>
      </w:r>
      <w:r>
        <w:rPr>
          <w:rStyle w:val="16"/>
          <w:rFonts w:hint="eastAsia" w:ascii="Times New Roman" w:hAnsi="Times New Roman" w:eastAsiaTheme="minorEastAsia"/>
          <w:sz w:val="24"/>
          <w:szCs w:val="24"/>
        </w:rPr>
        <w:t>目</w:t>
      </w:r>
      <w:r>
        <w:rPr>
          <w:rFonts w:hint="eastAsia" w:ascii="Times New Roman" w:hAnsi="Times New Roman" w:eastAsiaTheme="minorEastAsia"/>
          <w:sz w:val="24"/>
        </w:rPr>
        <w:t>使用其病历或标本。</w:t>
      </w:r>
    </w:p>
    <w:p>
      <w:pPr>
        <w:pStyle w:val="30"/>
        <w:numPr>
          <w:ilvl w:val="0"/>
          <w:numId w:val="3"/>
        </w:numPr>
        <w:tabs>
          <w:tab w:val="left" w:pos="5310"/>
        </w:tabs>
        <w:ind w:left="902" w:hanging="420" w:firstLineChars="0"/>
        <w:rPr>
          <w:rFonts w:ascii="Times New Roman" w:hAnsi="Times New Roman" w:eastAsiaTheme="minorEastAsia"/>
          <w:b/>
          <w:sz w:val="24"/>
        </w:rPr>
      </w:pPr>
      <w:r>
        <w:rPr>
          <w:rFonts w:hint="eastAsia" w:ascii="Times New Roman" w:hAnsi="Times New Roman" w:eastAsiaTheme="minorEastAsia"/>
          <w:sz w:val="24"/>
        </w:rPr>
        <w:t>本次研究符合原知情同意的许可条件。</w:t>
      </w:r>
    </w:p>
    <w:p>
      <w:pPr>
        <w:pStyle w:val="30"/>
        <w:numPr>
          <w:ilvl w:val="0"/>
          <w:numId w:val="3"/>
        </w:numPr>
        <w:tabs>
          <w:tab w:val="left" w:pos="5310"/>
        </w:tabs>
        <w:ind w:left="902" w:hanging="420" w:firstLineChars="0"/>
        <w:rPr>
          <w:rFonts w:ascii="Times New Roman" w:hAnsi="Times New Roman" w:eastAsiaTheme="minorEastAsia"/>
          <w:b/>
          <w:sz w:val="24"/>
        </w:rPr>
      </w:pPr>
      <w:r>
        <w:rPr>
          <w:rFonts w:hint="eastAsia" w:ascii="Times New Roman" w:hAnsi="Times New Roman" w:eastAsiaTheme="minorEastAsia"/>
          <w:sz w:val="24"/>
        </w:rPr>
        <w:t>受试者的隐私和身份信息的保密得到保证。</w:t>
      </w:r>
    </w:p>
    <w:p>
      <w:pPr>
        <w:pStyle w:val="27"/>
        <w:shd w:val="clear" w:color="auto" w:fill="auto"/>
        <w:spacing w:before="0" w:line="360" w:lineRule="auto"/>
        <w:ind w:firstLine="482"/>
        <w:jc w:val="both"/>
        <w:rPr>
          <w:rFonts w:ascii="Times New Roman" w:hAnsi="Times New Roman" w:eastAsiaTheme="minorEastAsia"/>
          <w:sz w:val="24"/>
          <w:szCs w:val="24"/>
        </w:rPr>
      </w:pPr>
      <w:r>
        <w:rPr>
          <w:rFonts w:hint="eastAsia" w:ascii="Times New Roman" w:hAnsi="Times New Roman" w:eastAsiaTheme="minorEastAsia"/>
          <w:sz w:val="24"/>
          <w:szCs w:val="24"/>
        </w:rPr>
        <w:t>九、免除知情同意书签字</w:t>
      </w:r>
    </w:p>
    <w:p>
      <w:pPr>
        <w:pStyle w:val="27"/>
        <w:shd w:val="clear" w:color="auto" w:fill="auto"/>
        <w:spacing w:before="0" w:line="360" w:lineRule="auto"/>
        <w:ind w:left="20" w:right="60" w:firstLine="480"/>
        <w:jc w:val="left"/>
        <w:rPr>
          <w:rFonts w:ascii="Times New Roman" w:hAnsi="Times New Roman" w:eastAsiaTheme="minorEastAsia"/>
          <w:b w:val="0"/>
          <w:sz w:val="24"/>
          <w:szCs w:val="24"/>
        </w:rPr>
      </w:pPr>
      <w:r>
        <w:rPr>
          <w:rFonts w:hint="eastAsia" w:ascii="Times New Roman" w:hAnsi="Times New Roman" w:eastAsiaTheme="minorEastAsia"/>
          <w:b w:val="0"/>
          <w:sz w:val="24"/>
          <w:szCs w:val="24"/>
        </w:rPr>
        <w:t>以下两种情况可以申请免除知情同意签字：</w:t>
      </w:r>
    </w:p>
    <w:p>
      <w:pPr>
        <w:pStyle w:val="30"/>
        <w:numPr>
          <w:ilvl w:val="0"/>
          <w:numId w:val="3"/>
        </w:numPr>
        <w:tabs>
          <w:tab w:val="left" w:pos="5310"/>
        </w:tabs>
        <w:ind w:left="902" w:hanging="420" w:firstLineChars="0"/>
        <w:rPr>
          <w:rFonts w:ascii="Times New Roman" w:hAnsi="Times New Roman" w:eastAsiaTheme="minorEastAsia"/>
          <w:b/>
          <w:sz w:val="24"/>
        </w:rPr>
      </w:pPr>
      <w:r>
        <w:rPr>
          <w:rFonts w:hint="eastAsia" w:ascii="Times New Roman" w:hAnsi="Times New Roman" w:eastAsiaTheme="minorEastAsia"/>
          <w:sz w:val="24"/>
        </w:rPr>
        <w:t>当一份签了字的知情同意书会对受试者的隐私构成不正当的威胁，联系受试者真实身份和研究的唯一记录是知情同意文件，并且主要风险就来自于受试者身份或个人隐私的泄露。在这种情况下，应该遵循每一位受试者本人的意愿是否签署书面知情同意文件。</w:t>
      </w:r>
    </w:p>
    <w:p>
      <w:pPr>
        <w:pStyle w:val="30"/>
        <w:numPr>
          <w:ilvl w:val="0"/>
          <w:numId w:val="3"/>
        </w:numPr>
        <w:tabs>
          <w:tab w:val="left" w:pos="5310"/>
        </w:tabs>
        <w:ind w:left="902" w:hanging="420" w:firstLineChars="0"/>
        <w:rPr>
          <w:rFonts w:ascii="Times New Roman" w:hAnsi="Times New Roman" w:eastAsiaTheme="minorEastAsia"/>
          <w:b/>
          <w:sz w:val="24"/>
        </w:rPr>
      </w:pPr>
      <w:r>
        <w:rPr>
          <w:rFonts w:hint="eastAsia" w:ascii="Times New Roman" w:hAnsi="Times New Roman" w:eastAsiaTheme="minorEastAsia"/>
          <w:sz w:val="24"/>
        </w:rPr>
        <w:t>研究对受试者的风险不大于最小风险，并且如果脱离“研究”背景，相同情况下的行为或程序不要求签署书面知情同意。例如，访谈研究，邮件</w:t>
      </w:r>
      <w:r>
        <w:rPr>
          <w:rFonts w:ascii="Times New Roman" w:hAnsi="Times New Roman" w:eastAsiaTheme="minorEastAsia"/>
          <w:sz w:val="24"/>
        </w:rPr>
        <w:t>/</w:t>
      </w:r>
      <w:r>
        <w:rPr>
          <w:rFonts w:hint="eastAsia" w:ascii="Times New Roman" w:hAnsi="Times New Roman" w:eastAsiaTheme="minorEastAsia"/>
          <w:sz w:val="24"/>
        </w:rPr>
        <w:t>电话调查。</w:t>
      </w:r>
    </w:p>
    <w:p>
      <w:pPr>
        <w:pStyle w:val="27"/>
        <w:tabs>
          <w:tab w:val="left" w:pos="569"/>
        </w:tabs>
        <w:spacing w:before="0" w:line="360" w:lineRule="auto"/>
        <w:ind w:firstLine="480"/>
        <w:jc w:val="both"/>
        <w:rPr>
          <w:rFonts w:ascii="Times New Roman" w:hAnsi="Times New Roman" w:eastAsiaTheme="minorEastAsia"/>
          <w:b w:val="0"/>
          <w:sz w:val="24"/>
          <w:szCs w:val="24"/>
        </w:rPr>
      </w:pPr>
      <w:r>
        <w:rPr>
          <w:rFonts w:hint="eastAsia" w:ascii="Times New Roman" w:hAnsi="Times New Roman" w:eastAsiaTheme="minorEastAsia"/>
          <w:b w:val="0"/>
          <w:sz w:val="24"/>
          <w:szCs w:val="24"/>
        </w:rPr>
        <w:t>对于批准免除签署书面知情同意文件的研究项目，伦理委员会可以要求研究者向受试者提供书面告知信息。</w:t>
      </w:r>
    </w:p>
    <w:p>
      <w:pPr>
        <w:pStyle w:val="27"/>
        <w:tabs>
          <w:tab w:val="left" w:pos="569"/>
        </w:tabs>
        <w:spacing w:before="0" w:line="360" w:lineRule="auto"/>
        <w:ind w:left="-280" w:firstLine="482"/>
        <w:jc w:val="both"/>
        <w:rPr>
          <w:rFonts w:ascii="Times New Roman" w:hAnsi="Times New Roman" w:eastAsiaTheme="minorEastAsia"/>
          <w:sz w:val="24"/>
          <w:szCs w:val="24"/>
        </w:rPr>
      </w:pPr>
      <w:r>
        <w:rPr>
          <w:rFonts w:hint="eastAsia" w:ascii="Times New Roman" w:hAnsi="Times New Roman" w:eastAsiaTheme="minorEastAsia"/>
          <w:sz w:val="24"/>
          <w:szCs w:val="24"/>
        </w:rPr>
        <w:t>十、联系方式</w:t>
      </w:r>
    </w:p>
    <w:p>
      <w:pPr>
        <w:pStyle w:val="27"/>
        <w:tabs>
          <w:tab w:val="left" w:pos="569"/>
        </w:tabs>
        <w:spacing w:before="0" w:line="360" w:lineRule="auto"/>
        <w:ind w:left="-280" w:firstLine="960" w:firstLineChars="400"/>
        <w:jc w:val="both"/>
        <w:rPr>
          <w:rFonts w:ascii="Times New Roman" w:hAnsi="Times New Roman" w:eastAsiaTheme="minorEastAsia"/>
          <w:b w:val="0"/>
          <w:sz w:val="24"/>
          <w:szCs w:val="24"/>
        </w:rPr>
      </w:pPr>
      <w:r>
        <w:rPr>
          <w:rFonts w:hint="eastAsia" w:ascii="Times New Roman" w:hAnsi="Times New Roman" w:eastAsiaTheme="minorEastAsia"/>
          <w:b w:val="0"/>
          <w:sz w:val="24"/>
          <w:szCs w:val="24"/>
        </w:rPr>
        <w:t>伦理委员会办公室电话：</w:t>
      </w:r>
      <w:r>
        <w:rPr>
          <w:rFonts w:ascii="Times New Roman" w:hAnsi="Times New Roman" w:eastAsiaTheme="minorEastAsia"/>
          <w:b w:val="0"/>
          <w:sz w:val="24"/>
          <w:szCs w:val="24"/>
        </w:rPr>
        <w:t>028-82715308</w:t>
      </w:r>
    </w:p>
    <w:p>
      <w:pPr>
        <w:pStyle w:val="27"/>
        <w:tabs>
          <w:tab w:val="left" w:pos="569"/>
        </w:tabs>
        <w:spacing w:before="0" w:line="360" w:lineRule="auto"/>
        <w:ind w:left="-280" w:firstLine="960" w:firstLineChars="400"/>
        <w:jc w:val="both"/>
        <w:rPr>
          <w:rFonts w:ascii="Times New Roman" w:hAnsi="Times New Roman" w:eastAsiaTheme="minorEastAsia"/>
          <w:b w:val="0"/>
          <w:sz w:val="24"/>
          <w:szCs w:val="24"/>
        </w:rPr>
      </w:pPr>
      <w:r>
        <w:rPr>
          <w:rFonts w:hint="eastAsia" w:ascii="Times New Roman" w:hAnsi="Times New Roman" w:eastAsiaTheme="minorEastAsia"/>
          <w:b w:val="0"/>
          <w:sz w:val="24"/>
          <w:szCs w:val="24"/>
        </w:rPr>
        <w:t>联系人：张太慧 王舒亚</w:t>
      </w:r>
    </w:p>
    <w:p>
      <w:pPr>
        <w:pStyle w:val="27"/>
        <w:tabs>
          <w:tab w:val="left" w:pos="569"/>
        </w:tabs>
        <w:spacing w:before="0" w:line="360" w:lineRule="auto"/>
        <w:ind w:left="-280" w:firstLine="960" w:firstLineChars="400"/>
        <w:jc w:val="both"/>
        <w:rPr>
          <w:rFonts w:ascii="Times New Roman" w:hAnsi="Times New Roman" w:eastAsiaTheme="minorEastAsia"/>
          <w:b w:val="0"/>
          <w:sz w:val="24"/>
          <w:szCs w:val="24"/>
        </w:rPr>
      </w:pPr>
      <w:r>
        <w:rPr>
          <w:rFonts w:ascii="Times New Roman" w:hAnsi="Times New Roman" w:eastAsiaTheme="minorEastAsia"/>
          <w:b w:val="0"/>
          <w:sz w:val="24"/>
          <w:szCs w:val="24"/>
          <w:lang w:eastAsia="zh-TW"/>
        </w:rPr>
        <w:t>Email</w:t>
      </w:r>
      <w:r>
        <w:rPr>
          <w:rFonts w:hint="eastAsia" w:ascii="Times New Roman" w:hAnsi="Times New Roman" w:eastAsiaTheme="minorEastAsia"/>
          <w:b w:val="0"/>
          <w:sz w:val="24"/>
          <w:szCs w:val="24"/>
          <w:lang w:eastAsia="zh-TW"/>
        </w:rPr>
        <w:t>：</w:t>
      </w:r>
      <w:r>
        <w:fldChar w:fldCharType="begin"/>
      </w:r>
      <w:r>
        <w:instrText xml:space="preserve"> HYPERLINK "mailto:cdwyiec@163.com" </w:instrText>
      </w:r>
      <w:r>
        <w:fldChar w:fldCharType="separate"/>
      </w:r>
      <w:r>
        <w:rPr>
          <w:rStyle w:val="8"/>
          <w:rFonts w:ascii="Times New Roman" w:hAnsi="Times New Roman" w:eastAsiaTheme="minorEastAsia"/>
          <w:b w:val="0"/>
          <w:sz w:val="24"/>
          <w:szCs w:val="24"/>
          <w:lang w:eastAsia="zh-TW"/>
        </w:rPr>
        <w:t>cdwyiec@163.com</w:t>
      </w:r>
      <w:r>
        <w:rPr>
          <w:rStyle w:val="8"/>
          <w:rFonts w:ascii="Times New Roman" w:hAnsi="Times New Roman" w:eastAsiaTheme="minorEastAsia"/>
          <w:b w:val="0"/>
          <w:sz w:val="24"/>
          <w:szCs w:val="24"/>
          <w:lang w:eastAsia="zh-TW"/>
        </w:rPr>
        <w:fldChar w:fldCharType="end"/>
      </w:r>
    </w:p>
    <w:p>
      <w:pPr>
        <w:pStyle w:val="27"/>
        <w:tabs>
          <w:tab w:val="left" w:pos="569"/>
        </w:tabs>
        <w:spacing w:before="0" w:line="360" w:lineRule="auto"/>
        <w:ind w:left="-280" w:firstLine="482"/>
        <w:jc w:val="both"/>
        <w:rPr>
          <w:rFonts w:ascii="Times New Roman" w:hAnsi="Times New Roman" w:eastAsiaTheme="minorEastAsia"/>
          <w:sz w:val="24"/>
          <w:szCs w:val="24"/>
          <w:lang w:eastAsia="zh-TW"/>
        </w:rPr>
      </w:pPr>
      <w:r>
        <w:rPr>
          <w:rFonts w:hint="eastAsia" w:ascii="Times New Roman" w:hAnsi="Times New Roman" w:eastAsiaTheme="minorEastAsia"/>
          <w:sz w:val="24"/>
          <w:szCs w:val="24"/>
          <w:lang w:eastAsia="zh-TW"/>
        </w:rPr>
        <w:t>十一、附件表格</w:t>
      </w:r>
    </w:p>
    <w:p>
      <w:pPr>
        <w:pStyle w:val="30"/>
        <w:numPr>
          <w:ilvl w:val="0"/>
          <w:numId w:val="3"/>
        </w:numPr>
        <w:tabs>
          <w:tab w:val="left" w:pos="5310"/>
        </w:tabs>
        <w:ind w:left="902" w:hanging="420" w:firstLineChars="0"/>
        <w:rPr>
          <w:rFonts w:ascii="Times New Roman" w:hAnsi="Times New Roman" w:eastAsiaTheme="minorEastAsia"/>
          <w:b/>
          <w:sz w:val="24"/>
          <w:lang w:eastAsia="zh-TW"/>
        </w:rPr>
      </w:pPr>
      <w:r>
        <w:rPr>
          <w:rFonts w:ascii="Times New Roman" w:hAnsi="Times New Roman" w:eastAsiaTheme="minorEastAsia"/>
          <w:sz w:val="24"/>
          <w:lang w:eastAsia="zh-TW"/>
        </w:rPr>
        <w:t>AF11</w:t>
      </w:r>
      <w:r>
        <w:rPr>
          <w:rFonts w:hint="eastAsia" w:ascii="Times New Roman" w:hAnsi="Times New Roman" w:eastAsiaTheme="minorEastAsia"/>
          <w:sz w:val="24"/>
          <w:lang w:eastAsia="zh-TW"/>
        </w:rPr>
        <w:t>送审文件清单</w:t>
      </w:r>
    </w:p>
    <w:p>
      <w:pPr>
        <w:pStyle w:val="30"/>
        <w:numPr>
          <w:ilvl w:val="0"/>
          <w:numId w:val="3"/>
        </w:numPr>
        <w:tabs>
          <w:tab w:val="left" w:pos="5310"/>
        </w:tabs>
        <w:ind w:left="902" w:hanging="420" w:firstLineChars="0"/>
        <w:rPr>
          <w:rFonts w:ascii="Times New Roman" w:hAnsi="Times New Roman" w:eastAsiaTheme="minorEastAsia"/>
          <w:b/>
          <w:sz w:val="24"/>
        </w:rPr>
      </w:pPr>
      <w:r>
        <w:rPr>
          <w:rFonts w:ascii="Times New Roman" w:hAnsi="Times New Roman" w:eastAsiaTheme="minorEastAsia"/>
          <w:sz w:val="24"/>
          <w:lang w:eastAsia="zh-TW"/>
        </w:rPr>
        <w:t>AF1</w:t>
      </w:r>
      <w:r>
        <w:rPr>
          <w:rFonts w:ascii="Times New Roman" w:hAnsi="Times New Roman" w:eastAsiaTheme="minorEastAsia"/>
          <w:sz w:val="24"/>
        </w:rPr>
        <w:t>2</w:t>
      </w:r>
      <w:r>
        <w:rPr>
          <w:rFonts w:hint="eastAsia" w:ascii="Times New Roman" w:hAnsi="Times New Roman" w:eastAsiaTheme="minorEastAsia"/>
          <w:sz w:val="24"/>
        </w:rPr>
        <w:t>初</w:t>
      </w:r>
      <w:r>
        <w:rPr>
          <w:rFonts w:hint="eastAsia" w:ascii="Times New Roman" w:hAnsi="Times New Roman" w:eastAsiaTheme="minorEastAsia"/>
          <w:sz w:val="24"/>
          <w:lang w:eastAsia="zh-TW"/>
        </w:rPr>
        <w:t>始审查申请</w:t>
      </w:r>
      <w:r>
        <w:rPr>
          <w:rFonts w:hint="eastAsia" w:ascii="Times New Roman" w:hAnsi="Times New Roman" w:eastAsiaTheme="minorEastAsia"/>
          <w:sz w:val="24"/>
        </w:rPr>
        <w:t>表（药物临床试验项目）</w:t>
      </w:r>
    </w:p>
    <w:p>
      <w:pPr>
        <w:pStyle w:val="30"/>
        <w:numPr>
          <w:ilvl w:val="0"/>
          <w:numId w:val="3"/>
        </w:numPr>
        <w:tabs>
          <w:tab w:val="left" w:pos="5310"/>
        </w:tabs>
        <w:ind w:left="902" w:hanging="420" w:firstLineChars="0"/>
        <w:rPr>
          <w:rFonts w:ascii="Times New Roman" w:hAnsi="Times New Roman" w:eastAsiaTheme="minorEastAsia"/>
          <w:b/>
          <w:sz w:val="24"/>
        </w:rPr>
      </w:pPr>
      <w:r>
        <w:rPr>
          <w:rFonts w:ascii="Times New Roman" w:hAnsi="Times New Roman" w:eastAsiaTheme="minorEastAsia"/>
          <w:sz w:val="24"/>
          <w:lang w:eastAsia="zh-TW"/>
        </w:rPr>
        <w:t>AF</w:t>
      </w:r>
      <w:r>
        <w:rPr>
          <w:rFonts w:ascii="Times New Roman" w:hAnsi="Times New Roman" w:eastAsiaTheme="minorEastAsia"/>
          <w:sz w:val="24"/>
        </w:rPr>
        <w:t>13</w:t>
      </w:r>
      <w:r>
        <w:rPr>
          <w:rFonts w:hint="eastAsia" w:ascii="Times New Roman" w:hAnsi="Times New Roman" w:eastAsiaTheme="minorEastAsia"/>
          <w:sz w:val="24"/>
          <w:lang w:eastAsia="zh-TW"/>
        </w:rPr>
        <w:t>初始审查申请</w:t>
      </w:r>
      <w:r>
        <w:rPr>
          <w:rFonts w:hint="eastAsia" w:ascii="Times New Roman" w:hAnsi="Times New Roman" w:eastAsiaTheme="minorEastAsia"/>
          <w:sz w:val="24"/>
        </w:rPr>
        <w:t>表（医疗器械临床试验项目）</w:t>
      </w:r>
    </w:p>
    <w:p>
      <w:pPr>
        <w:pStyle w:val="30"/>
        <w:numPr>
          <w:ilvl w:val="0"/>
          <w:numId w:val="3"/>
        </w:numPr>
        <w:tabs>
          <w:tab w:val="left" w:pos="5310"/>
        </w:tabs>
        <w:ind w:left="902" w:hanging="420" w:firstLineChars="0"/>
        <w:rPr>
          <w:rFonts w:ascii="Times New Roman" w:hAnsi="Times New Roman" w:eastAsiaTheme="minorEastAsia"/>
          <w:b/>
          <w:sz w:val="24"/>
        </w:rPr>
      </w:pPr>
      <w:r>
        <w:rPr>
          <w:rFonts w:ascii="Times New Roman" w:hAnsi="Times New Roman" w:eastAsiaTheme="minorEastAsia"/>
          <w:sz w:val="24"/>
          <w:lang w:eastAsia="zh-TW"/>
        </w:rPr>
        <w:t>AF</w:t>
      </w:r>
      <w:r>
        <w:rPr>
          <w:rFonts w:ascii="Times New Roman" w:hAnsi="Times New Roman" w:eastAsiaTheme="minorEastAsia"/>
          <w:sz w:val="24"/>
        </w:rPr>
        <w:t>15</w:t>
      </w:r>
      <w:r>
        <w:rPr>
          <w:rFonts w:hint="eastAsia" w:ascii="Times New Roman" w:hAnsi="Times New Roman" w:eastAsiaTheme="minorEastAsia"/>
          <w:sz w:val="24"/>
          <w:lang w:eastAsia="zh-TW"/>
        </w:rPr>
        <w:t>始审查申请</w:t>
      </w:r>
      <w:r>
        <w:rPr>
          <w:rFonts w:hint="eastAsia" w:ascii="Times New Roman" w:hAnsi="Times New Roman" w:eastAsiaTheme="minorEastAsia"/>
          <w:sz w:val="24"/>
        </w:rPr>
        <w:t>表（新技术新项目）</w:t>
      </w:r>
    </w:p>
    <w:p>
      <w:pPr>
        <w:pStyle w:val="30"/>
        <w:numPr>
          <w:ilvl w:val="0"/>
          <w:numId w:val="3"/>
        </w:numPr>
        <w:tabs>
          <w:tab w:val="left" w:pos="5310"/>
        </w:tabs>
        <w:ind w:left="902" w:hanging="420" w:firstLineChars="0"/>
        <w:rPr>
          <w:rFonts w:ascii="Times New Roman" w:hAnsi="Times New Roman" w:eastAsiaTheme="minorEastAsia"/>
          <w:b/>
          <w:sz w:val="24"/>
        </w:rPr>
      </w:pPr>
      <w:r>
        <w:rPr>
          <w:rFonts w:ascii="Times New Roman" w:hAnsi="Times New Roman" w:eastAsiaTheme="minorEastAsia"/>
          <w:sz w:val="24"/>
          <w:lang w:eastAsia="zh-TW"/>
        </w:rPr>
        <w:t>AF1</w:t>
      </w:r>
      <w:r>
        <w:rPr>
          <w:rFonts w:ascii="Times New Roman" w:hAnsi="Times New Roman" w:eastAsiaTheme="minorEastAsia"/>
          <w:sz w:val="24"/>
        </w:rPr>
        <w:t>6</w:t>
      </w:r>
      <w:r>
        <w:rPr>
          <w:rFonts w:hint="eastAsia" w:ascii="Times New Roman" w:hAnsi="Times New Roman" w:eastAsiaTheme="minorEastAsia"/>
          <w:sz w:val="24"/>
          <w:lang w:eastAsia="zh-TW"/>
        </w:rPr>
        <w:t>初始审查申请</w:t>
      </w:r>
      <w:r>
        <w:rPr>
          <w:rFonts w:hint="eastAsia" w:ascii="Times New Roman" w:hAnsi="Times New Roman" w:eastAsiaTheme="minorEastAsia"/>
          <w:sz w:val="24"/>
        </w:rPr>
        <w:t>表（科研项目）</w:t>
      </w:r>
    </w:p>
    <w:p>
      <w:pPr>
        <w:pStyle w:val="30"/>
        <w:numPr>
          <w:ilvl w:val="0"/>
          <w:numId w:val="3"/>
        </w:numPr>
        <w:tabs>
          <w:tab w:val="left" w:pos="5310"/>
        </w:tabs>
        <w:ind w:left="902" w:hanging="420" w:firstLineChars="0"/>
        <w:rPr>
          <w:rFonts w:ascii="Times New Roman" w:hAnsi="Times New Roman" w:eastAsiaTheme="minorEastAsia"/>
          <w:b/>
          <w:sz w:val="24"/>
        </w:rPr>
      </w:pPr>
      <w:r>
        <w:rPr>
          <w:rFonts w:ascii="Times New Roman" w:hAnsi="Times New Roman" w:eastAsiaTheme="minorEastAsia"/>
          <w:sz w:val="24"/>
          <w:lang w:eastAsia="zh-TW"/>
        </w:rPr>
        <w:t>AF1</w:t>
      </w:r>
      <w:r>
        <w:rPr>
          <w:rFonts w:ascii="Times New Roman" w:hAnsi="Times New Roman" w:eastAsiaTheme="minorEastAsia"/>
          <w:sz w:val="24"/>
        </w:rPr>
        <w:t>7</w:t>
      </w:r>
      <w:r>
        <w:rPr>
          <w:rFonts w:hint="eastAsia" w:ascii="Times New Roman" w:hAnsi="Times New Roman" w:eastAsiaTheme="minorEastAsia"/>
          <w:sz w:val="24"/>
          <w:lang w:eastAsia="zh-TW"/>
        </w:rPr>
        <w:t>修正案审查申请</w:t>
      </w:r>
      <w:r>
        <w:rPr>
          <w:rFonts w:hint="eastAsia" w:ascii="Times New Roman" w:hAnsi="Times New Roman" w:eastAsiaTheme="minorEastAsia"/>
          <w:sz w:val="24"/>
        </w:rPr>
        <w:t>表</w:t>
      </w:r>
    </w:p>
    <w:p>
      <w:pPr>
        <w:pStyle w:val="15"/>
        <w:numPr>
          <w:ilvl w:val="0"/>
          <w:numId w:val="3"/>
        </w:numPr>
        <w:shd w:val="clear" w:color="auto" w:fill="auto"/>
        <w:tabs>
          <w:tab w:val="left" w:pos="603"/>
        </w:tabs>
        <w:spacing w:before="0" w:line="360" w:lineRule="auto"/>
        <w:ind w:left="397" w:firstLine="120" w:firstLineChars="50"/>
        <w:jc w:val="left"/>
        <w:rPr>
          <w:rFonts w:ascii="Times New Roman" w:hAnsi="Times New Roman" w:eastAsiaTheme="minorEastAsia"/>
          <w:b/>
          <w:sz w:val="24"/>
          <w:szCs w:val="24"/>
          <w:lang w:eastAsia="zh-TW"/>
        </w:rPr>
      </w:pPr>
      <w:r>
        <w:rPr>
          <w:rFonts w:ascii="Times New Roman" w:hAnsi="Times New Roman" w:eastAsiaTheme="minorEastAsia"/>
          <w:sz w:val="24"/>
          <w:szCs w:val="24"/>
          <w:lang w:eastAsia="zh-TW"/>
        </w:rPr>
        <w:t>AF1</w:t>
      </w:r>
      <w:r>
        <w:rPr>
          <w:rFonts w:ascii="Times New Roman" w:hAnsi="Times New Roman" w:eastAsiaTheme="minorEastAsia"/>
          <w:sz w:val="24"/>
          <w:szCs w:val="24"/>
        </w:rPr>
        <w:t>8</w:t>
      </w:r>
      <w:r>
        <w:rPr>
          <w:rFonts w:hint="eastAsia" w:ascii="Times New Roman" w:hAnsi="Times New Roman" w:eastAsiaTheme="minorEastAsia"/>
          <w:sz w:val="24"/>
          <w:szCs w:val="24"/>
        </w:rPr>
        <w:t>研究进展</w:t>
      </w:r>
      <w:r>
        <w:rPr>
          <w:rFonts w:hint="eastAsia" w:ascii="Times New Roman" w:hAnsi="Times New Roman" w:eastAsiaTheme="minorEastAsia"/>
          <w:sz w:val="24"/>
          <w:szCs w:val="24"/>
          <w:lang w:eastAsia="zh-TW"/>
        </w:rPr>
        <w:t>报告</w:t>
      </w:r>
    </w:p>
    <w:p>
      <w:pPr>
        <w:pStyle w:val="15"/>
        <w:numPr>
          <w:ilvl w:val="0"/>
          <w:numId w:val="3"/>
        </w:numPr>
        <w:shd w:val="clear" w:color="auto" w:fill="auto"/>
        <w:tabs>
          <w:tab w:val="left" w:pos="603"/>
        </w:tabs>
        <w:spacing w:before="0" w:line="360" w:lineRule="auto"/>
        <w:ind w:left="397" w:firstLine="120" w:firstLineChars="50"/>
        <w:jc w:val="left"/>
        <w:rPr>
          <w:rFonts w:ascii="Times New Roman" w:hAnsi="Times New Roman" w:eastAsiaTheme="minorEastAsia"/>
          <w:b/>
          <w:sz w:val="24"/>
          <w:szCs w:val="24"/>
          <w:lang w:eastAsia="zh-TW"/>
        </w:rPr>
      </w:pPr>
      <w:r>
        <w:rPr>
          <w:rFonts w:ascii="Times New Roman" w:hAnsi="Times New Roman" w:eastAsiaTheme="minorEastAsia"/>
          <w:sz w:val="24"/>
          <w:szCs w:val="24"/>
          <w:lang w:eastAsia="zh-TW"/>
        </w:rPr>
        <w:t>AF1</w:t>
      </w:r>
      <w:r>
        <w:rPr>
          <w:rFonts w:ascii="Times New Roman" w:hAnsi="Times New Roman" w:eastAsiaTheme="minorEastAsia"/>
          <w:sz w:val="24"/>
          <w:szCs w:val="24"/>
        </w:rPr>
        <w:t>9</w:t>
      </w:r>
      <w:r>
        <w:rPr>
          <w:rFonts w:hint="eastAsia" w:ascii="Times New Roman" w:hAnsi="Times New Roman" w:eastAsiaTheme="minorEastAsia"/>
          <w:sz w:val="24"/>
          <w:szCs w:val="24"/>
          <w:lang w:eastAsia="zh-TW"/>
        </w:rPr>
        <w:t>严重不良事件/非预期不良事件报告</w:t>
      </w:r>
    </w:p>
    <w:p>
      <w:pPr>
        <w:pStyle w:val="15"/>
        <w:numPr>
          <w:ilvl w:val="0"/>
          <w:numId w:val="3"/>
        </w:numPr>
        <w:shd w:val="clear" w:color="auto" w:fill="auto"/>
        <w:tabs>
          <w:tab w:val="left" w:pos="603"/>
        </w:tabs>
        <w:spacing w:before="0" w:line="360" w:lineRule="auto"/>
        <w:ind w:left="397" w:firstLine="120" w:firstLineChars="50"/>
        <w:jc w:val="left"/>
        <w:rPr>
          <w:rFonts w:ascii="Times New Roman" w:hAnsi="Times New Roman" w:eastAsiaTheme="minorEastAsia"/>
          <w:b/>
          <w:sz w:val="24"/>
          <w:szCs w:val="24"/>
          <w:lang w:eastAsia="zh-TW"/>
        </w:rPr>
      </w:pPr>
      <w:r>
        <w:rPr>
          <w:rFonts w:ascii="Times New Roman" w:hAnsi="Times New Roman" w:eastAsiaTheme="minorEastAsia"/>
          <w:sz w:val="24"/>
          <w:szCs w:val="24"/>
          <w:lang w:eastAsia="zh-TW"/>
        </w:rPr>
        <w:t>AF</w:t>
      </w:r>
      <w:r>
        <w:rPr>
          <w:rFonts w:ascii="Times New Roman" w:hAnsi="Times New Roman" w:eastAsiaTheme="minorEastAsia"/>
          <w:sz w:val="24"/>
          <w:szCs w:val="24"/>
        </w:rPr>
        <w:t>20</w:t>
      </w:r>
      <w:r>
        <w:rPr>
          <w:rFonts w:hint="eastAsia" w:ascii="Times New Roman" w:hAnsi="Times New Roman" w:eastAsiaTheme="minorEastAsia"/>
          <w:sz w:val="24"/>
          <w:szCs w:val="24"/>
          <w:lang w:eastAsia="zh-TW"/>
        </w:rPr>
        <w:t>违背方案报告</w:t>
      </w:r>
    </w:p>
    <w:p>
      <w:pPr>
        <w:pStyle w:val="15"/>
        <w:numPr>
          <w:ilvl w:val="0"/>
          <w:numId w:val="3"/>
        </w:numPr>
        <w:shd w:val="clear" w:color="auto" w:fill="auto"/>
        <w:tabs>
          <w:tab w:val="left" w:pos="603"/>
        </w:tabs>
        <w:spacing w:before="0" w:line="360" w:lineRule="auto"/>
        <w:ind w:left="397" w:firstLine="120" w:firstLineChars="50"/>
        <w:jc w:val="left"/>
        <w:rPr>
          <w:rFonts w:ascii="Times New Roman" w:hAnsi="Times New Roman" w:eastAsiaTheme="minorEastAsia"/>
          <w:b/>
          <w:sz w:val="24"/>
          <w:szCs w:val="24"/>
          <w:lang w:eastAsia="zh-TW"/>
        </w:rPr>
      </w:pPr>
      <w:r>
        <w:rPr>
          <w:rFonts w:ascii="Times New Roman" w:hAnsi="Times New Roman" w:eastAsiaTheme="minorEastAsia"/>
          <w:sz w:val="24"/>
          <w:szCs w:val="24"/>
          <w:lang w:eastAsia="zh-TW"/>
        </w:rPr>
        <w:t>AF</w:t>
      </w:r>
      <w:r>
        <w:rPr>
          <w:rFonts w:ascii="Times New Roman" w:hAnsi="Times New Roman" w:eastAsiaTheme="minorEastAsia"/>
          <w:sz w:val="24"/>
          <w:szCs w:val="24"/>
        </w:rPr>
        <w:t>2</w:t>
      </w:r>
      <w:r>
        <w:rPr>
          <w:rFonts w:hint="eastAsia" w:ascii="Times New Roman" w:hAnsi="Times New Roman" w:eastAsiaTheme="minorEastAsia"/>
          <w:sz w:val="24"/>
          <w:szCs w:val="24"/>
        </w:rPr>
        <w:t>1</w:t>
      </w:r>
      <w:r>
        <w:rPr>
          <w:rFonts w:hint="eastAsia" w:ascii="Times New Roman" w:hAnsi="Times New Roman" w:eastAsiaTheme="minorEastAsia"/>
          <w:sz w:val="24"/>
          <w:szCs w:val="24"/>
          <w:lang w:eastAsia="zh-TW"/>
        </w:rPr>
        <w:t>暂停</w:t>
      </w:r>
      <w:r>
        <w:rPr>
          <w:rFonts w:ascii="Times New Roman" w:hAnsi="Times New Roman" w:eastAsiaTheme="minorEastAsia"/>
          <w:sz w:val="24"/>
          <w:szCs w:val="24"/>
          <w:lang w:eastAsia="zh-TW"/>
        </w:rPr>
        <w:t>/</w:t>
      </w:r>
      <w:r>
        <w:rPr>
          <w:rFonts w:hint="eastAsia" w:ascii="Times New Roman" w:hAnsi="Times New Roman" w:eastAsiaTheme="minorEastAsia"/>
          <w:sz w:val="24"/>
          <w:szCs w:val="24"/>
          <w:lang w:eastAsia="zh-TW"/>
        </w:rPr>
        <w:t>终止研究报告</w:t>
      </w:r>
    </w:p>
    <w:p>
      <w:pPr>
        <w:pStyle w:val="15"/>
        <w:numPr>
          <w:ilvl w:val="0"/>
          <w:numId w:val="3"/>
        </w:numPr>
        <w:shd w:val="clear" w:color="auto" w:fill="auto"/>
        <w:tabs>
          <w:tab w:val="left" w:pos="603"/>
        </w:tabs>
        <w:spacing w:before="0" w:line="360" w:lineRule="auto"/>
        <w:ind w:left="397" w:firstLine="120" w:firstLineChars="50"/>
        <w:jc w:val="left"/>
        <w:rPr>
          <w:rFonts w:ascii="Times New Roman" w:hAnsi="Times New Roman" w:eastAsiaTheme="minorEastAsia"/>
          <w:b/>
          <w:sz w:val="24"/>
          <w:szCs w:val="24"/>
          <w:lang w:eastAsia="zh-TW"/>
        </w:rPr>
      </w:pPr>
      <w:r>
        <w:rPr>
          <w:rFonts w:ascii="Times New Roman" w:hAnsi="Times New Roman" w:eastAsiaTheme="minorEastAsia"/>
          <w:sz w:val="24"/>
          <w:szCs w:val="24"/>
          <w:lang w:eastAsia="zh-TW"/>
        </w:rPr>
        <w:t>AF</w:t>
      </w:r>
      <w:r>
        <w:rPr>
          <w:rFonts w:ascii="Times New Roman" w:hAnsi="Times New Roman" w:eastAsiaTheme="minorEastAsia"/>
          <w:sz w:val="24"/>
          <w:szCs w:val="24"/>
        </w:rPr>
        <w:t>22</w:t>
      </w:r>
      <w:r>
        <w:rPr>
          <w:rFonts w:hint="eastAsia" w:ascii="Times New Roman" w:hAnsi="Times New Roman" w:eastAsiaTheme="minorEastAsia"/>
          <w:sz w:val="24"/>
          <w:szCs w:val="24"/>
          <w:lang w:eastAsia="zh-TW"/>
        </w:rPr>
        <w:t>研究完成报告</w:t>
      </w:r>
    </w:p>
    <w:p>
      <w:pPr>
        <w:pStyle w:val="15"/>
        <w:numPr>
          <w:ilvl w:val="0"/>
          <w:numId w:val="3"/>
        </w:numPr>
        <w:shd w:val="clear" w:color="auto" w:fill="auto"/>
        <w:tabs>
          <w:tab w:val="left" w:pos="603"/>
        </w:tabs>
        <w:spacing w:before="0" w:line="360" w:lineRule="auto"/>
        <w:ind w:left="397" w:firstLine="120" w:firstLineChars="50"/>
        <w:jc w:val="left"/>
        <w:rPr>
          <w:rFonts w:ascii="Times New Roman" w:hAnsi="Times New Roman" w:eastAsiaTheme="minorEastAsia"/>
          <w:b/>
          <w:sz w:val="24"/>
          <w:szCs w:val="24"/>
        </w:rPr>
      </w:pPr>
      <w:r>
        <w:rPr>
          <w:rFonts w:ascii="Times New Roman" w:hAnsi="Times New Roman" w:eastAsiaTheme="minorEastAsia"/>
          <w:sz w:val="24"/>
          <w:szCs w:val="24"/>
        </w:rPr>
        <w:t>AF2</w:t>
      </w:r>
      <w:r>
        <w:rPr>
          <w:rFonts w:hint="eastAsia" w:ascii="Times New Roman" w:hAnsi="Times New Roman" w:eastAsiaTheme="minorEastAsia"/>
          <w:sz w:val="24"/>
          <w:szCs w:val="24"/>
        </w:rPr>
        <w:t>3</w:t>
      </w:r>
      <w:r>
        <w:rPr>
          <w:rFonts w:hint="eastAsia" w:ascii="Times New Roman" w:hAnsi="Times New Roman" w:eastAsiaTheme="minorEastAsia"/>
          <w:sz w:val="24"/>
          <w:szCs w:val="24"/>
          <w:lang w:eastAsia="zh-TW"/>
        </w:rPr>
        <w:t>复审申请</w:t>
      </w:r>
      <w:r>
        <w:rPr>
          <w:rFonts w:hint="eastAsia" w:ascii="Times New Roman" w:hAnsi="Times New Roman" w:eastAsiaTheme="minorEastAsia"/>
          <w:sz w:val="24"/>
          <w:szCs w:val="24"/>
        </w:rPr>
        <w:t>表</w:t>
      </w:r>
    </w:p>
    <w:p>
      <w:pPr>
        <w:pStyle w:val="15"/>
        <w:numPr>
          <w:ilvl w:val="0"/>
          <w:numId w:val="3"/>
        </w:numPr>
        <w:shd w:val="clear" w:color="auto" w:fill="auto"/>
        <w:tabs>
          <w:tab w:val="left" w:pos="603"/>
        </w:tabs>
        <w:spacing w:before="0" w:line="360" w:lineRule="auto"/>
        <w:ind w:left="397" w:firstLine="120" w:firstLineChars="50"/>
        <w:jc w:val="left"/>
        <w:rPr>
          <w:rFonts w:ascii="Times New Roman" w:hAnsi="Times New Roman" w:eastAsiaTheme="minorEastAsia"/>
          <w:b/>
          <w:sz w:val="24"/>
          <w:szCs w:val="24"/>
        </w:rPr>
      </w:pPr>
      <w:r>
        <w:rPr>
          <w:rFonts w:ascii="Times New Roman" w:hAnsi="Times New Roman" w:eastAsiaTheme="minorEastAsia"/>
          <w:sz w:val="24"/>
          <w:szCs w:val="24"/>
          <w:lang w:eastAsia="zh-TW"/>
        </w:rPr>
        <w:t>AF</w:t>
      </w:r>
      <w:r>
        <w:rPr>
          <w:rFonts w:ascii="Times New Roman" w:hAnsi="Times New Roman" w:eastAsiaTheme="minorEastAsia"/>
          <w:sz w:val="24"/>
          <w:szCs w:val="24"/>
        </w:rPr>
        <w:t>24</w:t>
      </w:r>
      <w:r>
        <w:rPr>
          <w:rFonts w:hint="eastAsia" w:ascii="Times New Roman" w:hAnsi="Times New Roman" w:eastAsiaTheme="minorEastAsia"/>
          <w:sz w:val="24"/>
          <w:szCs w:val="24"/>
          <w:lang w:eastAsia="zh-TW"/>
        </w:rPr>
        <w:t>免除审查申请</w:t>
      </w:r>
      <w:r>
        <w:rPr>
          <w:rFonts w:hint="eastAsia" w:ascii="Times New Roman" w:hAnsi="Times New Roman" w:eastAsiaTheme="minorEastAsia"/>
          <w:sz w:val="24"/>
          <w:szCs w:val="24"/>
        </w:rPr>
        <w:t>表</w:t>
      </w:r>
    </w:p>
    <w:p>
      <w:pPr>
        <w:pStyle w:val="15"/>
        <w:numPr>
          <w:ilvl w:val="0"/>
          <w:numId w:val="3"/>
        </w:numPr>
        <w:shd w:val="clear" w:color="auto" w:fill="auto"/>
        <w:tabs>
          <w:tab w:val="left" w:pos="603"/>
        </w:tabs>
        <w:spacing w:before="0" w:line="360" w:lineRule="auto"/>
        <w:ind w:left="397" w:firstLine="120" w:firstLineChars="50"/>
        <w:jc w:val="left"/>
        <w:rPr>
          <w:rFonts w:ascii="Times New Roman" w:hAnsi="Times New Roman" w:eastAsiaTheme="minorEastAsia"/>
          <w:b/>
          <w:sz w:val="24"/>
          <w:szCs w:val="24"/>
          <w:lang w:eastAsia="zh-TW"/>
        </w:rPr>
      </w:pPr>
      <w:r>
        <w:rPr>
          <w:rFonts w:ascii="Times New Roman" w:hAnsi="Times New Roman" w:eastAsiaTheme="minorEastAsia"/>
          <w:sz w:val="24"/>
          <w:szCs w:val="24"/>
        </w:rPr>
        <w:t>AF25</w:t>
      </w:r>
      <w:r>
        <w:rPr>
          <w:rFonts w:hint="eastAsia" w:ascii="Times New Roman" w:hAnsi="Times New Roman" w:eastAsiaTheme="minorEastAsia"/>
          <w:sz w:val="24"/>
          <w:szCs w:val="24"/>
          <w:lang w:eastAsia="zh-TW"/>
        </w:rPr>
        <w:t>项目形式审查表</w:t>
      </w:r>
      <w:r>
        <w:rPr>
          <w:rFonts w:ascii="Times New Roman" w:hAnsi="Times New Roman" w:eastAsiaTheme="minorEastAsia"/>
          <w:sz w:val="24"/>
          <w:szCs w:val="24"/>
          <w:lang w:eastAsia="zh-TW"/>
        </w:rPr>
        <w:t>/</w:t>
      </w:r>
      <w:r>
        <w:rPr>
          <w:rFonts w:hint="eastAsia" w:ascii="Times New Roman" w:hAnsi="Times New Roman" w:eastAsiaTheme="minorEastAsia"/>
          <w:sz w:val="24"/>
          <w:szCs w:val="24"/>
          <w:lang w:eastAsia="zh-TW"/>
        </w:rPr>
        <w:t>受理通知</w:t>
      </w:r>
    </w:p>
    <w:p>
      <w:pPr>
        <w:pStyle w:val="15"/>
        <w:numPr>
          <w:ilvl w:val="0"/>
          <w:numId w:val="3"/>
        </w:numPr>
        <w:shd w:val="clear" w:color="auto" w:fill="auto"/>
        <w:tabs>
          <w:tab w:val="left" w:pos="603"/>
        </w:tabs>
        <w:spacing w:before="0" w:line="360" w:lineRule="auto"/>
        <w:ind w:left="397" w:firstLine="120" w:firstLineChars="50"/>
        <w:jc w:val="left"/>
        <w:rPr>
          <w:rFonts w:ascii="Times New Roman" w:hAnsi="Times New Roman" w:eastAsiaTheme="minorEastAsia"/>
          <w:b w:val="0"/>
          <w:sz w:val="24"/>
          <w:szCs w:val="24"/>
          <w:lang w:eastAsia="zh-TW"/>
        </w:rPr>
      </w:pPr>
      <w:r>
        <w:rPr>
          <w:rFonts w:ascii="Times New Roman" w:hAnsi="Times New Roman" w:cs="MingLiU" w:eastAsiaTheme="minorEastAsia"/>
          <w:b w:val="0"/>
          <w:color w:val="auto"/>
          <w:spacing w:val="0"/>
          <w:kern w:val="2"/>
          <w:sz w:val="24"/>
          <w:szCs w:val="24"/>
          <w:shd w:val="clear" w:color="auto" w:fill="auto"/>
          <w:lang w:eastAsia="zh-TW"/>
        </w:rPr>
        <w:t>AF76</w:t>
      </w:r>
      <w:r>
        <w:rPr>
          <w:rFonts w:hint="eastAsia" w:ascii="Times New Roman" w:hAnsi="Times New Roman" w:cs="MingLiU" w:eastAsiaTheme="minorEastAsia"/>
          <w:b w:val="0"/>
          <w:color w:val="auto"/>
          <w:spacing w:val="0"/>
          <w:kern w:val="2"/>
          <w:sz w:val="24"/>
          <w:szCs w:val="24"/>
          <w:shd w:val="clear" w:color="auto" w:fill="auto"/>
          <w:lang w:eastAsia="zh-TW"/>
        </w:rPr>
        <w:t>前置伦理审评立项资料一致性声明</w:t>
      </w:r>
    </w:p>
    <w:p>
      <w:pPr>
        <w:pStyle w:val="15"/>
        <w:numPr>
          <w:ilvl w:val="0"/>
          <w:numId w:val="3"/>
        </w:numPr>
        <w:shd w:val="clear" w:color="auto" w:fill="auto"/>
        <w:tabs>
          <w:tab w:val="left" w:pos="603"/>
        </w:tabs>
        <w:spacing w:before="0" w:line="360" w:lineRule="auto"/>
        <w:ind w:left="397" w:firstLine="120" w:firstLineChars="50"/>
        <w:jc w:val="left"/>
        <w:rPr>
          <w:rFonts w:ascii="Times New Roman" w:hAnsi="Times New Roman" w:eastAsiaTheme="minorEastAsia"/>
          <w:b w:val="0"/>
          <w:sz w:val="24"/>
          <w:szCs w:val="24"/>
          <w:lang w:eastAsia="zh-TW"/>
        </w:rPr>
      </w:pPr>
      <w:r>
        <w:rPr>
          <w:rFonts w:ascii="Times New Roman" w:hAnsi="Times New Roman" w:cs="MingLiU" w:eastAsiaTheme="minorEastAsia"/>
          <w:b w:val="0"/>
          <w:color w:val="auto"/>
          <w:spacing w:val="0"/>
          <w:kern w:val="2"/>
          <w:sz w:val="24"/>
          <w:szCs w:val="24"/>
          <w:shd w:val="clear" w:color="auto" w:fill="auto"/>
          <w:lang w:eastAsia="zh-TW"/>
        </w:rPr>
        <w:t>AF77</w:t>
      </w:r>
      <w:r>
        <w:rPr>
          <w:rFonts w:hint="eastAsia" w:ascii="Times New Roman" w:hAnsi="Times New Roman" w:cs="MingLiU" w:eastAsiaTheme="minorEastAsia"/>
          <w:b w:val="0"/>
          <w:color w:val="auto"/>
          <w:spacing w:val="0"/>
          <w:kern w:val="2"/>
          <w:sz w:val="24"/>
          <w:szCs w:val="24"/>
          <w:shd w:val="clear" w:color="auto" w:fill="auto"/>
          <w:lang w:eastAsia="zh-TW"/>
        </w:rPr>
        <w:t>前置伦理审评项目备案成功承诺书</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onstantia">
    <w:panose1 w:val="02030602050306030303"/>
    <w:charset w:val="00"/>
    <w:family w:val="roman"/>
    <w:pitch w:val="default"/>
    <w:sig w:usb0="A00002EF" w:usb1="4000204B" w:usb2="00000000" w:usb3="00000000" w:csb0="2000019F" w:csb1="00000000"/>
  </w:font>
  <w:font w:name="CordiaUPC">
    <w:altName w:val="Yu Gothic UI Light"/>
    <w:panose1 w:val="020B0304020202020204"/>
    <w:charset w:val="00"/>
    <w:family w:val="swiss"/>
    <w:pitch w:val="default"/>
    <w:sig w:usb0="00000000" w:usb1="00000000" w:usb2="00000000" w:usb3="00000000" w:csb0="00010001" w:csb1="00000000"/>
  </w:font>
  <w:font w:name="Yu Gothic UI Light">
    <w:panose1 w:val="020B03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1917676"/>
    </w:sdtPr>
    <w:sdtContent>
      <w:p>
        <w:pPr>
          <w:pStyle w:val="3"/>
          <w:ind w:firstLine="600"/>
          <w:jc w:val="center"/>
        </w:pPr>
        <w:r>
          <w:fldChar w:fldCharType="begin"/>
        </w:r>
        <w:r>
          <w:instrText xml:space="preserve">PAGE   \* MERGEFORMAT</w:instrText>
        </w:r>
        <w:r>
          <w:fldChar w:fldCharType="separate"/>
        </w:r>
        <w:r>
          <w:rPr>
            <w:lang w:val="zh-CN"/>
          </w:rPr>
          <w:t>6</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00"/>
      </w:pPr>
      <w:r>
        <w:separator/>
      </w:r>
    </w:p>
  </w:footnote>
  <w:footnote w:type="continuationSeparator" w:id="1">
    <w:p>
      <w:pPr>
        <w:spacing w:line="36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rFonts w:hint="eastAsia"/>
      </w:rPr>
      <w:t>成都市第五人民医院伦理委员会</w:t>
    </w:r>
  </w:p>
  <w:p>
    <w:pPr>
      <w:pStyle w:val="4"/>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05AFB"/>
    <w:multiLevelType w:val="multilevel"/>
    <w:tmpl w:val="19E05AFB"/>
    <w:lvl w:ilvl="0" w:tentative="0">
      <w:start w:val="2"/>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2B20278C"/>
    <w:multiLevelType w:val="multilevel"/>
    <w:tmpl w:val="2B20278C"/>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3E051155"/>
    <w:multiLevelType w:val="multilevel"/>
    <w:tmpl w:val="3E051155"/>
    <w:lvl w:ilvl="0" w:tentative="0">
      <w:start w:val="1"/>
      <w:numFmt w:val="bullet"/>
      <w:lvlText w:val=""/>
      <w:lvlJc w:val="left"/>
      <w:pPr>
        <w:ind w:left="1840" w:hanging="420"/>
      </w:pPr>
      <w:rPr>
        <w:rFonts w:hint="default" w:ascii="Wingdings" w:hAnsi="Wingdings"/>
      </w:rPr>
    </w:lvl>
    <w:lvl w:ilvl="1" w:tentative="0">
      <w:start w:val="1"/>
      <w:numFmt w:val="bullet"/>
      <w:lvlText w:val=""/>
      <w:lvlJc w:val="left"/>
      <w:pPr>
        <w:ind w:left="2260" w:hanging="420"/>
      </w:pPr>
      <w:rPr>
        <w:rFonts w:hint="default" w:ascii="Wingdings" w:hAnsi="Wingdings"/>
      </w:rPr>
    </w:lvl>
    <w:lvl w:ilvl="2" w:tentative="0">
      <w:start w:val="1"/>
      <w:numFmt w:val="bullet"/>
      <w:lvlText w:val=""/>
      <w:lvlJc w:val="left"/>
      <w:pPr>
        <w:ind w:left="2680" w:hanging="420"/>
      </w:pPr>
      <w:rPr>
        <w:rFonts w:hint="default" w:ascii="Wingdings" w:hAnsi="Wingdings"/>
      </w:rPr>
    </w:lvl>
    <w:lvl w:ilvl="3" w:tentative="0">
      <w:start w:val="1"/>
      <w:numFmt w:val="bullet"/>
      <w:lvlText w:val=""/>
      <w:lvlJc w:val="left"/>
      <w:pPr>
        <w:ind w:left="3100" w:hanging="420"/>
      </w:pPr>
      <w:rPr>
        <w:rFonts w:hint="default" w:ascii="Wingdings" w:hAnsi="Wingdings"/>
      </w:rPr>
    </w:lvl>
    <w:lvl w:ilvl="4" w:tentative="0">
      <w:start w:val="1"/>
      <w:numFmt w:val="bullet"/>
      <w:lvlText w:val=""/>
      <w:lvlJc w:val="left"/>
      <w:pPr>
        <w:ind w:left="3520" w:hanging="420"/>
      </w:pPr>
      <w:rPr>
        <w:rFonts w:hint="default" w:ascii="Wingdings" w:hAnsi="Wingdings"/>
      </w:rPr>
    </w:lvl>
    <w:lvl w:ilvl="5" w:tentative="0">
      <w:start w:val="1"/>
      <w:numFmt w:val="bullet"/>
      <w:lvlText w:val=""/>
      <w:lvlJc w:val="left"/>
      <w:pPr>
        <w:ind w:left="3940" w:hanging="420"/>
      </w:pPr>
      <w:rPr>
        <w:rFonts w:hint="default" w:ascii="Wingdings" w:hAnsi="Wingdings"/>
      </w:rPr>
    </w:lvl>
    <w:lvl w:ilvl="6" w:tentative="0">
      <w:start w:val="1"/>
      <w:numFmt w:val="bullet"/>
      <w:lvlText w:val=""/>
      <w:lvlJc w:val="left"/>
      <w:pPr>
        <w:ind w:left="4360" w:hanging="420"/>
      </w:pPr>
      <w:rPr>
        <w:rFonts w:hint="default" w:ascii="Wingdings" w:hAnsi="Wingdings"/>
      </w:rPr>
    </w:lvl>
    <w:lvl w:ilvl="7" w:tentative="0">
      <w:start w:val="1"/>
      <w:numFmt w:val="bullet"/>
      <w:lvlText w:val=""/>
      <w:lvlJc w:val="left"/>
      <w:pPr>
        <w:ind w:left="4780" w:hanging="420"/>
      </w:pPr>
      <w:rPr>
        <w:rFonts w:hint="default" w:ascii="Wingdings" w:hAnsi="Wingdings"/>
      </w:rPr>
    </w:lvl>
    <w:lvl w:ilvl="8" w:tentative="0">
      <w:start w:val="1"/>
      <w:numFmt w:val="bullet"/>
      <w:lvlText w:val=""/>
      <w:lvlJc w:val="left"/>
      <w:pPr>
        <w:ind w:left="5200" w:hanging="420"/>
      </w:pPr>
      <w:rPr>
        <w:rFonts w:hint="default" w:ascii="Wingdings" w:hAnsi="Wingdings"/>
      </w:rPr>
    </w:lvl>
  </w:abstractNum>
  <w:abstractNum w:abstractNumId="3">
    <w:nsid w:val="51AA349C"/>
    <w:multiLevelType w:val="multilevel"/>
    <w:tmpl w:val="51AA349C"/>
    <w:lvl w:ilvl="0" w:tentative="0">
      <w:start w:val="1"/>
      <w:numFmt w:val="decimal"/>
      <w:lvlText w:val="%1."/>
      <w:lvlJc w:val="left"/>
      <w:rPr>
        <w:rFonts w:hint="default" w:ascii="Times New Roman" w:hAnsi="Times New Roman"/>
        <w:b w:val="0"/>
        <w:bCs w:val="0"/>
        <w:i w:val="0"/>
        <w:iCs w:val="0"/>
        <w:smallCaps w:val="0"/>
        <w:strike w:val="0"/>
        <w:color w:val="000000"/>
        <w:spacing w:val="-10"/>
        <w:w w:val="100"/>
        <w:position w:val="0"/>
        <w:sz w:val="24"/>
        <w:szCs w:val="30"/>
        <w:u w:val="none"/>
        <w:lang w:val="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7F7A2F1F"/>
    <w:multiLevelType w:val="multilevel"/>
    <w:tmpl w:val="7F7A2F1F"/>
    <w:lvl w:ilvl="0" w:tentative="0">
      <w:start w:val="1"/>
      <w:numFmt w:val="bullet"/>
      <w:lvlText w:val=""/>
      <w:lvlJc w:val="left"/>
      <w:rPr>
        <w:rFonts w:hint="default" w:ascii="Wingdings" w:hAnsi="Wingdings"/>
        <w:b w:val="0"/>
        <w:bCs w:val="0"/>
        <w:i w:val="0"/>
        <w:iCs w:val="0"/>
        <w:smallCaps w:val="0"/>
        <w:strike w:val="0"/>
        <w:color w:val="000000"/>
        <w:spacing w:val="-10"/>
        <w:w w:val="100"/>
        <w:position w:val="0"/>
        <w:sz w:val="15"/>
        <w:szCs w:val="13"/>
        <w:u w:val="none"/>
        <w:lang w:val="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U1YjY2MTIwODVjYjdhZmRiZjZjMjNhOWI4YjU3MjMifQ=="/>
  </w:docVars>
  <w:rsids>
    <w:rsidRoot w:val="008E1496"/>
    <w:rsid w:val="000041EC"/>
    <w:rsid w:val="00006C13"/>
    <w:rsid w:val="0002599F"/>
    <w:rsid w:val="00036FAA"/>
    <w:rsid w:val="00041C45"/>
    <w:rsid w:val="00045593"/>
    <w:rsid w:val="00050C9A"/>
    <w:rsid w:val="000565FB"/>
    <w:rsid w:val="00065992"/>
    <w:rsid w:val="00082EEE"/>
    <w:rsid w:val="000876AF"/>
    <w:rsid w:val="000918C6"/>
    <w:rsid w:val="000960B4"/>
    <w:rsid w:val="000B0082"/>
    <w:rsid w:val="000B6F0A"/>
    <w:rsid w:val="000E3681"/>
    <w:rsid w:val="000F6BD6"/>
    <w:rsid w:val="0010076A"/>
    <w:rsid w:val="001009BA"/>
    <w:rsid w:val="00126997"/>
    <w:rsid w:val="00131AAA"/>
    <w:rsid w:val="001323F3"/>
    <w:rsid w:val="00133DCE"/>
    <w:rsid w:val="001423E2"/>
    <w:rsid w:val="00143375"/>
    <w:rsid w:val="001512AF"/>
    <w:rsid w:val="00153EFE"/>
    <w:rsid w:val="00180C4A"/>
    <w:rsid w:val="00182085"/>
    <w:rsid w:val="00187B0B"/>
    <w:rsid w:val="00187D9D"/>
    <w:rsid w:val="00191316"/>
    <w:rsid w:val="001A2DE1"/>
    <w:rsid w:val="001B08D2"/>
    <w:rsid w:val="001B16AF"/>
    <w:rsid w:val="001D0539"/>
    <w:rsid w:val="001D56DA"/>
    <w:rsid w:val="001D59A5"/>
    <w:rsid w:val="001D7AFD"/>
    <w:rsid w:val="001E54DF"/>
    <w:rsid w:val="001F2E7F"/>
    <w:rsid w:val="001F3213"/>
    <w:rsid w:val="001F7F34"/>
    <w:rsid w:val="0020013D"/>
    <w:rsid w:val="002070C9"/>
    <w:rsid w:val="00231100"/>
    <w:rsid w:val="0023433D"/>
    <w:rsid w:val="00237F03"/>
    <w:rsid w:val="0024045E"/>
    <w:rsid w:val="002410F1"/>
    <w:rsid w:val="002446AA"/>
    <w:rsid w:val="00253949"/>
    <w:rsid w:val="0025411B"/>
    <w:rsid w:val="0025781F"/>
    <w:rsid w:val="002609E2"/>
    <w:rsid w:val="00267C3C"/>
    <w:rsid w:val="00280A16"/>
    <w:rsid w:val="00281D65"/>
    <w:rsid w:val="00283CB8"/>
    <w:rsid w:val="002859F3"/>
    <w:rsid w:val="002951ED"/>
    <w:rsid w:val="00296E30"/>
    <w:rsid w:val="002A3002"/>
    <w:rsid w:val="002B473E"/>
    <w:rsid w:val="002C36CF"/>
    <w:rsid w:val="002C41DA"/>
    <w:rsid w:val="002C4776"/>
    <w:rsid w:val="002D1B1A"/>
    <w:rsid w:val="002D4923"/>
    <w:rsid w:val="002E3EA9"/>
    <w:rsid w:val="002F28A3"/>
    <w:rsid w:val="0030049A"/>
    <w:rsid w:val="00302F31"/>
    <w:rsid w:val="00306EA9"/>
    <w:rsid w:val="00313C49"/>
    <w:rsid w:val="003303FD"/>
    <w:rsid w:val="003353C8"/>
    <w:rsid w:val="0034428E"/>
    <w:rsid w:val="003448C1"/>
    <w:rsid w:val="00344C3D"/>
    <w:rsid w:val="00347086"/>
    <w:rsid w:val="00351C62"/>
    <w:rsid w:val="0035527F"/>
    <w:rsid w:val="003570CE"/>
    <w:rsid w:val="0037291A"/>
    <w:rsid w:val="00380D3F"/>
    <w:rsid w:val="00381370"/>
    <w:rsid w:val="00382FC4"/>
    <w:rsid w:val="003921E9"/>
    <w:rsid w:val="003A06DA"/>
    <w:rsid w:val="003B078D"/>
    <w:rsid w:val="003B3CCE"/>
    <w:rsid w:val="003E6D8A"/>
    <w:rsid w:val="003F693A"/>
    <w:rsid w:val="003F6D37"/>
    <w:rsid w:val="00404FAE"/>
    <w:rsid w:val="00410167"/>
    <w:rsid w:val="00414A7D"/>
    <w:rsid w:val="00414AF0"/>
    <w:rsid w:val="00421E15"/>
    <w:rsid w:val="00423DFF"/>
    <w:rsid w:val="0042703B"/>
    <w:rsid w:val="0043451A"/>
    <w:rsid w:val="004441F4"/>
    <w:rsid w:val="004464D1"/>
    <w:rsid w:val="00452917"/>
    <w:rsid w:val="00473709"/>
    <w:rsid w:val="004744E4"/>
    <w:rsid w:val="004760C8"/>
    <w:rsid w:val="00476FED"/>
    <w:rsid w:val="004777A8"/>
    <w:rsid w:val="00480D25"/>
    <w:rsid w:val="00492155"/>
    <w:rsid w:val="004A71B5"/>
    <w:rsid w:val="004B0C85"/>
    <w:rsid w:val="004C0E3F"/>
    <w:rsid w:val="004D1306"/>
    <w:rsid w:val="004D4496"/>
    <w:rsid w:val="004D5230"/>
    <w:rsid w:val="004F3046"/>
    <w:rsid w:val="00501462"/>
    <w:rsid w:val="00511252"/>
    <w:rsid w:val="005114F4"/>
    <w:rsid w:val="00522102"/>
    <w:rsid w:val="0053159D"/>
    <w:rsid w:val="005317CB"/>
    <w:rsid w:val="005325F8"/>
    <w:rsid w:val="00547F08"/>
    <w:rsid w:val="005512AF"/>
    <w:rsid w:val="00552023"/>
    <w:rsid w:val="00557A3B"/>
    <w:rsid w:val="00575292"/>
    <w:rsid w:val="005845AE"/>
    <w:rsid w:val="005A06DB"/>
    <w:rsid w:val="005A1138"/>
    <w:rsid w:val="005A4E86"/>
    <w:rsid w:val="005B403C"/>
    <w:rsid w:val="005B6F60"/>
    <w:rsid w:val="005C3307"/>
    <w:rsid w:val="005C34C8"/>
    <w:rsid w:val="005D0171"/>
    <w:rsid w:val="005D41BF"/>
    <w:rsid w:val="005D45F9"/>
    <w:rsid w:val="005E17CD"/>
    <w:rsid w:val="005E6246"/>
    <w:rsid w:val="005F5636"/>
    <w:rsid w:val="00616C4B"/>
    <w:rsid w:val="00622E50"/>
    <w:rsid w:val="00623844"/>
    <w:rsid w:val="00624A9E"/>
    <w:rsid w:val="00625DD5"/>
    <w:rsid w:val="006279B3"/>
    <w:rsid w:val="006307C2"/>
    <w:rsid w:val="0064234B"/>
    <w:rsid w:val="00653C42"/>
    <w:rsid w:val="00653C97"/>
    <w:rsid w:val="0065549F"/>
    <w:rsid w:val="00672B56"/>
    <w:rsid w:val="00680097"/>
    <w:rsid w:val="00685613"/>
    <w:rsid w:val="006934BE"/>
    <w:rsid w:val="006A4032"/>
    <w:rsid w:val="006A53CA"/>
    <w:rsid w:val="006D2D5C"/>
    <w:rsid w:val="006E1495"/>
    <w:rsid w:val="006E3582"/>
    <w:rsid w:val="006F1BA6"/>
    <w:rsid w:val="006F4704"/>
    <w:rsid w:val="006F6413"/>
    <w:rsid w:val="0070415E"/>
    <w:rsid w:val="0070424D"/>
    <w:rsid w:val="007050E8"/>
    <w:rsid w:val="00714F3A"/>
    <w:rsid w:val="007254FF"/>
    <w:rsid w:val="0072580A"/>
    <w:rsid w:val="00735ACA"/>
    <w:rsid w:val="0073665E"/>
    <w:rsid w:val="00737ECC"/>
    <w:rsid w:val="00742A8A"/>
    <w:rsid w:val="00761CB8"/>
    <w:rsid w:val="00772E66"/>
    <w:rsid w:val="007737E3"/>
    <w:rsid w:val="00785160"/>
    <w:rsid w:val="007857DA"/>
    <w:rsid w:val="00786BE7"/>
    <w:rsid w:val="007970D1"/>
    <w:rsid w:val="007A0193"/>
    <w:rsid w:val="007A3FAF"/>
    <w:rsid w:val="007B5D0B"/>
    <w:rsid w:val="007C4DC6"/>
    <w:rsid w:val="007E6B8B"/>
    <w:rsid w:val="007F0AD2"/>
    <w:rsid w:val="007F6C6F"/>
    <w:rsid w:val="007F7D7C"/>
    <w:rsid w:val="008102F1"/>
    <w:rsid w:val="00811823"/>
    <w:rsid w:val="00812F15"/>
    <w:rsid w:val="00823D62"/>
    <w:rsid w:val="00825EB9"/>
    <w:rsid w:val="0082613B"/>
    <w:rsid w:val="0083106E"/>
    <w:rsid w:val="00833EC4"/>
    <w:rsid w:val="008371D9"/>
    <w:rsid w:val="0084093D"/>
    <w:rsid w:val="00840D5A"/>
    <w:rsid w:val="00885B23"/>
    <w:rsid w:val="00891AEB"/>
    <w:rsid w:val="00893B44"/>
    <w:rsid w:val="008A31FD"/>
    <w:rsid w:val="008A50AA"/>
    <w:rsid w:val="008B1A78"/>
    <w:rsid w:val="008B416A"/>
    <w:rsid w:val="008B73A8"/>
    <w:rsid w:val="008C26E3"/>
    <w:rsid w:val="008C31C0"/>
    <w:rsid w:val="008D0B99"/>
    <w:rsid w:val="008D36A5"/>
    <w:rsid w:val="008D3773"/>
    <w:rsid w:val="008D38DF"/>
    <w:rsid w:val="008E1496"/>
    <w:rsid w:val="008E1ED2"/>
    <w:rsid w:val="008F035A"/>
    <w:rsid w:val="008F0618"/>
    <w:rsid w:val="008F0B53"/>
    <w:rsid w:val="00907DB8"/>
    <w:rsid w:val="00910DB2"/>
    <w:rsid w:val="00910E83"/>
    <w:rsid w:val="00913867"/>
    <w:rsid w:val="00914BC7"/>
    <w:rsid w:val="009173AF"/>
    <w:rsid w:val="00926EF2"/>
    <w:rsid w:val="009305F7"/>
    <w:rsid w:val="0093068A"/>
    <w:rsid w:val="00933180"/>
    <w:rsid w:val="00955EF4"/>
    <w:rsid w:val="0096186F"/>
    <w:rsid w:val="00962267"/>
    <w:rsid w:val="00964B92"/>
    <w:rsid w:val="00974AD1"/>
    <w:rsid w:val="009814B7"/>
    <w:rsid w:val="009913BD"/>
    <w:rsid w:val="009A1197"/>
    <w:rsid w:val="009A2BE7"/>
    <w:rsid w:val="009A5857"/>
    <w:rsid w:val="009B1C11"/>
    <w:rsid w:val="009B5C54"/>
    <w:rsid w:val="009C63DA"/>
    <w:rsid w:val="009D2F1A"/>
    <w:rsid w:val="009E0362"/>
    <w:rsid w:val="009E240C"/>
    <w:rsid w:val="009E4314"/>
    <w:rsid w:val="009E776C"/>
    <w:rsid w:val="009F62E6"/>
    <w:rsid w:val="00A04364"/>
    <w:rsid w:val="00A12966"/>
    <w:rsid w:val="00A17C32"/>
    <w:rsid w:val="00A24182"/>
    <w:rsid w:val="00A26D2B"/>
    <w:rsid w:val="00A27FE9"/>
    <w:rsid w:val="00A3310B"/>
    <w:rsid w:val="00A435BA"/>
    <w:rsid w:val="00A50250"/>
    <w:rsid w:val="00A502C2"/>
    <w:rsid w:val="00A5382F"/>
    <w:rsid w:val="00A5605F"/>
    <w:rsid w:val="00A647DA"/>
    <w:rsid w:val="00A649AD"/>
    <w:rsid w:val="00AB6548"/>
    <w:rsid w:val="00AC2540"/>
    <w:rsid w:val="00AC32FF"/>
    <w:rsid w:val="00AD6D14"/>
    <w:rsid w:val="00AE581B"/>
    <w:rsid w:val="00AF0944"/>
    <w:rsid w:val="00AF7342"/>
    <w:rsid w:val="00AF7D4C"/>
    <w:rsid w:val="00B00FD2"/>
    <w:rsid w:val="00B04919"/>
    <w:rsid w:val="00B149A1"/>
    <w:rsid w:val="00B15F6D"/>
    <w:rsid w:val="00B219BE"/>
    <w:rsid w:val="00B22D98"/>
    <w:rsid w:val="00B25BF3"/>
    <w:rsid w:val="00B27AE0"/>
    <w:rsid w:val="00B367B4"/>
    <w:rsid w:val="00B406F3"/>
    <w:rsid w:val="00B40A5D"/>
    <w:rsid w:val="00B42DAE"/>
    <w:rsid w:val="00B45035"/>
    <w:rsid w:val="00B45AAD"/>
    <w:rsid w:val="00B56517"/>
    <w:rsid w:val="00B565CE"/>
    <w:rsid w:val="00B678F6"/>
    <w:rsid w:val="00B710DD"/>
    <w:rsid w:val="00B722F2"/>
    <w:rsid w:val="00B72A4D"/>
    <w:rsid w:val="00B82B82"/>
    <w:rsid w:val="00B84F02"/>
    <w:rsid w:val="00B8682A"/>
    <w:rsid w:val="00B91478"/>
    <w:rsid w:val="00B92181"/>
    <w:rsid w:val="00B963B8"/>
    <w:rsid w:val="00BB0155"/>
    <w:rsid w:val="00BC0C36"/>
    <w:rsid w:val="00BF3A0F"/>
    <w:rsid w:val="00BF48D2"/>
    <w:rsid w:val="00BF7666"/>
    <w:rsid w:val="00C0112E"/>
    <w:rsid w:val="00C02D33"/>
    <w:rsid w:val="00C22B2C"/>
    <w:rsid w:val="00C30A6D"/>
    <w:rsid w:val="00C32126"/>
    <w:rsid w:val="00C47990"/>
    <w:rsid w:val="00C75E91"/>
    <w:rsid w:val="00C76FCE"/>
    <w:rsid w:val="00C779D7"/>
    <w:rsid w:val="00C83B02"/>
    <w:rsid w:val="00C95C5E"/>
    <w:rsid w:val="00CA2E94"/>
    <w:rsid w:val="00CA37F6"/>
    <w:rsid w:val="00CA643C"/>
    <w:rsid w:val="00CA7EEA"/>
    <w:rsid w:val="00CB27D4"/>
    <w:rsid w:val="00CC1B4B"/>
    <w:rsid w:val="00CC1CA8"/>
    <w:rsid w:val="00CC2665"/>
    <w:rsid w:val="00CC7238"/>
    <w:rsid w:val="00CD122E"/>
    <w:rsid w:val="00CD3EFF"/>
    <w:rsid w:val="00CE5EF0"/>
    <w:rsid w:val="00CF1787"/>
    <w:rsid w:val="00CF26D6"/>
    <w:rsid w:val="00D00FE9"/>
    <w:rsid w:val="00D01E78"/>
    <w:rsid w:val="00D128CB"/>
    <w:rsid w:val="00D13F13"/>
    <w:rsid w:val="00D32863"/>
    <w:rsid w:val="00D36148"/>
    <w:rsid w:val="00D36795"/>
    <w:rsid w:val="00D36A1D"/>
    <w:rsid w:val="00D44F2A"/>
    <w:rsid w:val="00D51CBE"/>
    <w:rsid w:val="00D56647"/>
    <w:rsid w:val="00D61C4C"/>
    <w:rsid w:val="00D731DE"/>
    <w:rsid w:val="00D85E1B"/>
    <w:rsid w:val="00D9567B"/>
    <w:rsid w:val="00DA335B"/>
    <w:rsid w:val="00DA7946"/>
    <w:rsid w:val="00DA7D78"/>
    <w:rsid w:val="00DB4303"/>
    <w:rsid w:val="00DC1496"/>
    <w:rsid w:val="00DC168A"/>
    <w:rsid w:val="00DD6D51"/>
    <w:rsid w:val="00DE1BE7"/>
    <w:rsid w:val="00DF0E11"/>
    <w:rsid w:val="00DF5F11"/>
    <w:rsid w:val="00DF78C4"/>
    <w:rsid w:val="00E050D6"/>
    <w:rsid w:val="00E1236E"/>
    <w:rsid w:val="00E20AF8"/>
    <w:rsid w:val="00E371FE"/>
    <w:rsid w:val="00E43BB1"/>
    <w:rsid w:val="00E46AD2"/>
    <w:rsid w:val="00E53AEB"/>
    <w:rsid w:val="00E77D8F"/>
    <w:rsid w:val="00E855D1"/>
    <w:rsid w:val="00E875D2"/>
    <w:rsid w:val="00E9005A"/>
    <w:rsid w:val="00EA0664"/>
    <w:rsid w:val="00EB0790"/>
    <w:rsid w:val="00EB793A"/>
    <w:rsid w:val="00EC0190"/>
    <w:rsid w:val="00EC3D53"/>
    <w:rsid w:val="00ED0228"/>
    <w:rsid w:val="00ED0508"/>
    <w:rsid w:val="00ED11B9"/>
    <w:rsid w:val="00EE280F"/>
    <w:rsid w:val="00EE39EA"/>
    <w:rsid w:val="00EF23B3"/>
    <w:rsid w:val="00EF3224"/>
    <w:rsid w:val="00EF45A9"/>
    <w:rsid w:val="00F02734"/>
    <w:rsid w:val="00F06CF1"/>
    <w:rsid w:val="00F24DA2"/>
    <w:rsid w:val="00F4079E"/>
    <w:rsid w:val="00F479CB"/>
    <w:rsid w:val="00F6146A"/>
    <w:rsid w:val="00F61C3B"/>
    <w:rsid w:val="00F63067"/>
    <w:rsid w:val="00F657EF"/>
    <w:rsid w:val="00F74CDB"/>
    <w:rsid w:val="00FB1291"/>
    <w:rsid w:val="00FB2CBA"/>
    <w:rsid w:val="00FC4B7A"/>
    <w:rsid w:val="00FD5035"/>
    <w:rsid w:val="00FD5935"/>
    <w:rsid w:val="00FD731A"/>
    <w:rsid w:val="00FD7D63"/>
    <w:rsid w:val="00FE118D"/>
    <w:rsid w:val="01001B5E"/>
    <w:rsid w:val="01042CD0"/>
    <w:rsid w:val="0156352C"/>
    <w:rsid w:val="01563F22"/>
    <w:rsid w:val="017B7436"/>
    <w:rsid w:val="018067FB"/>
    <w:rsid w:val="01A00C4B"/>
    <w:rsid w:val="02145195"/>
    <w:rsid w:val="021A27AB"/>
    <w:rsid w:val="02300221"/>
    <w:rsid w:val="023C4E17"/>
    <w:rsid w:val="024617F2"/>
    <w:rsid w:val="024C0DD3"/>
    <w:rsid w:val="027A149C"/>
    <w:rsid w:val="02B40E52"/>
    <w:rsid w:val="02B7624C"/>
    <w:rsid w:val="02C646E1"/>
    <w:rsid w:val="02D84414"/>
    <w:rsid w:val="02D86A82"/>
    <w:rsid w:val="02EB5484"/>
    <w:rsid w:val="02F254D6"/>
    <w:rsid w:val="030516AD"/>
    <w:rsid w:val="03174F3D"/>
    <w:rsid w:val="036F6B27"/>
    <w:rsid w:val="037E6D6A"/>
    <w:rsid w:val="03AC1B29"/>
    <w:rsid w:val="03B94246"/>
    <w:rsid w:val="03C74BB5"/>
    <w:rsid w:val="03D270B5"/>
    <w:rsid w:val="043E78DB"/>
    <w:rsid w:val="04657F2A"/>
    <w:rsid w:val="04B0389B"/>
    <w:rsid w:val="04B8274F"/>
    <w:rsid w:val="04B862AB"/>
    <w:rsid w:val="04BA2023"/>
    <w:rsid w:val="04BD38C2"/>
    <w:rsid w:val="04C11604"/>
    <w:rsid w:val="04C3537C"/>
    <w:rsid w:val="04E11CA6"/>
    <w:rsid w:val="04E2157A"/>
    <w:rsid w:val="04EE6171"/>
    <w:rsid w:val="04F73278"/>
    <w:rsid w:val="04F96FAC"/>
    <w:rsid w:val="052120A3"/>
    <w:rsid w:val="053022E6"/>
    <w:rsid w:val="053718C6"/>
    <w:rsid w:val="05467D5B"/>
    <w:rsid w:val="055A55B4"/>
    <w:rsid w:val="056703FD"/>
    <w:rsid w:val="056F72B2"/>
    <w:rsid w:val="05EC445F"/>
    <w:rsid w:val="06085010"/>
    <w:rsid w:val="0636392C"/>
    <w:rsid w:val="063F4ED6"/>
    <w:rsid w:val="06436049"/>
    <w:rsid w:val="06497B03"/>
    <w:rsid w:val="065D35AE"/>
    <w:rsid w:val="06744454"/>
    <w:rsid w:val="067D59FE"/>
    <w:rsid w:val="069D1BFD"/>
    <w:rsid w:val="06AB60C8"/>
    <w:rsid w:val="06E8731C"/>
    <w:rsid w:val="070B6B66"/>
    <w:rsid w:val="071A324D"/>
    <w:rsid w:val="073A744C"/>
    <w:rsid w:val="075D7207"/>
    <w:rsid w:val="076170CE"/>
    <w:rsid w:val="0762012C"/>
    <w:rsid w:val="077E558A"/>
    <w:rsid w:val="07950B26"/>
    <w:rsid w:val="07A50D69"/>
    <w:rsid w:val="07B611C8"/>
    <w:rsid w:val="07CD6C5D"/>
    <w:rsid w:val="07D72EEC"/>
    <w:rsid w:val="07F27D26"/>
    <w:rsid w:val="07FB307F"/>
    <w:rsid w:val="080041F1"/>
    <w:rsid w:val="08406CE4"/>
    <w:rsid w:val="084A7B62"/>
    <w:rsid w:val="08514A4D"/>
    <w:rsid w:val="08536A17"/>
    <w:rsid w:val="08752E31"/>
    <w:rsid w:val="08840DE3"/>
    <w:rsid w:val="089D5EE4"/>
    <w:rsid w:val="08BB280E"/>
    <w:rsid w:val="08BF22FE"/>
    <w:rsid w:val="08D86F1C"/>
    <w:rsid w:val="08E65ADD"/>
    <w:rsid w:val="08F63846"/>
    <w:rsid w:val="08F655F4"/>
    <w:rsid w:val="09102B5A"/>
    <w:rsid w:val="0935436E"/>
    <w:rsid w:val="095742E5"/>
    <w:rsid w:val="095C57D4"/>
    <w:rsid w:val="0963712E"/>
    <w:rsid w:val="09903C9B"/>
    <w:rsid w:val="09B63701"/>
    <w:rsid w:val="09C234A8"/>
    <w:rsid w:val="09EA33AB"/>
    <w:rsid w:val="09FB7366"/>
    <w:rsid w:val="0A1931C5"/>
    <w:rsid w:val="0A5847B8"/>
    <w:rsid w:val="0A682522"/>
    <w:rsid w:val="0AA23C86"/>
    <w:rsid w:val="0AAF1EFF"/>
    <w:rsid w:val="0AC260D6"/>
    <w:rsid w:val="0B030595"/>
    <w:rsid w:val="0B512FB6"/>
    <w:rsid w:val="0BB579E9"/>
    <w:rsid w:val="0C0F534B"/>
    <w:rsid w:val="0C152235"/>
    <w:rsid w:val="0C3536A5"/>
    <w:rsid w:val="0C3C0205"/>
    <w:rsid w:val="0C525237"/>
    <w:rsid w:val="0C5C3F78"/>
    <w:rsid w:val="0C605BA6"/>
    <w:rsid w:val="0C656D19"/>
    <w:rsid w:val="0C7D22B4"/>
    <w:rsid w:val="0C8F3D96"/>
    <w:rsid w:val="0CA57A5D"/>
    <w:rsid w:val="0CB41A4E"/>
    <w:rsid w:val="0CBD6B55"/>
    <w:rsid w:val="0CBF0B1F"/>
    <w:rsid w:val="0CE51C08"/>
    <w:rsid w:val="0D0C53E6"/>
    <w:rsid w:val="0D553231"/>
    <w:rsid w:val="0D5C636E"/>
    <w:rsid w:val="0D674D12"/>
    <w:rsid w:val="0DC0318D"/>
    <w:rsid w:val="0DD56473"/>
    <w:rsid w:val="0DDB0644"/>
    <w:rsid w:val="0DDC2091"/>
    <w:rsid w:val="0DE10621"/>
    <w:rsid w:val="0DE14AC5"/>
    <w:rsid w:val="0DF56E57"/>
    <w:rsid w:val="0E040CF2"/>
    <w:rsid w:val="0E082052"/>
    <w:rsid w:val="0E2C21E4"/>
    <w:rsid w:val="0E4A08BC"/>
    <w:rsid w:val="0E76520D"/>
    <w:rsid w:val="0E8042DE"/>
    <w:rsid w:val="0E8611C8"/>
    <w:rsid w:val="0E9E4764"/>
    <w:rsid w:val="0ECF2B6F"/>
    <w:rsid w:val="0EDD5107"/>
    <w:rsid w:val="0EE228A3"/>
    <w:rsid w:val="0EF37F42"/>
    <w:rsid w:val="0F470958"/>
    <w:rsid w:val="0F587009"/>
    <w:rsid w:val="0F5D461F"/>
    <w:rsid w:val="0F6170FF"/>
    <w:rsid w:val="0F931DEF"/>
    <w:rsid w:val="0FB3423F"/>
    <w:rsid w:val="0FC401FA"/>
    <w:rsid w:val="0FCB77DB"/>
    <w:rsid w:val="0FF2565F"/>
    <w:rsid w:val="101919DF"/>
    <w:rsid w:val="1032785A"/>
    <w:rsid w:val="103A670E"/>
    <w:rsid w:val="103E0D3A"/>
    <w:rsid w:val="103F3D25"/>
    <w:rsid w:val="104906FF"/>
    <w:rsid w:val="105570A4"/>
    <w:rsid w:val="10757746"/>
    <w:rsid w:val="1077526D"/>
    <w:rsid w:val="10857989"/>
    <w:rsid w:val="1097590F"/>
    <w:rsid w:val="10A818CA"/>
    <w:rsid w:val="10C62B44"/>
    <w:rsid w:val="10D426BF"/>
    <w:rsid w:val="10E50428"/>
    <w:rsid w:val="10FD7E68"/>
    <w:rsid w:val="11020FDA"/>
    <w:rsid w:val="11056D1C"/>
    <w:rsid w:val="1109680C"/>
    <w:rsid w:val="113111E9"/>
    <w:rsid w:val="113373E5"/>
    <w:rsid w:val="113D2012"/>
    <w:rsid w:val="113E5D8A"/>
    <w:rsid w:val="11401B02"/>
    <w:rsid w:val="114C04A7"/>
    <w:rsid w:val="11603F53"/>
    <w:rsid w:val="116C6D9B"/>
    <w:rsid w:val="11800151"/>
    <w:rsid w:val="11812847"/>
    <w:rsid w:val="118916FB"/>
    <w:rsid w:val="118C11EC"/>
    <w:rsid w:val="119B4F8B"/>
    <w:rsid w:val="11C444E1"/>
    <w:rsid w:val="11C52008"/>
    <w:rsid w:val="11DB182B"/>
    <w:rsid w:val="11DC7A7D"/>
    <w:rsid w:val="11E84674"/>
    <w:rsid w:val="12582E7C"/>
    <w:rsid w:val="12A418E0"/>
    <w:rsid w:val="12A93A9A"/>
    <w:rsid w:val="12CD73C6"/>
    <w:rsid w:val="12E56E05"/>
    <w:rsid w:val="12F17558"/>
    <w:rsid w:val="13180F89"/>
    <w:rsid w:val="13313DF9"/>
    <w:rsid w:val="135D2E40"/>
    <w:rsid w:val="1364416C"/>
    <w:rsid w:val="13675A6C"/>
    <w:rsid w:val="138C54D3"/>
    <w:rsid w:val="13B80076"/>
    <w:rsid w:val="13CE7899"/>
    <w:rsid w:val="13D1738A"/>
    <w:rsid w:val="13DD188A"/>
    <w:rsid w:val="13E06DE0"/>
    <w:rsid w:val="13E34051"/>
    <w:rsid w:val="13EA22CD"/>
    <w:rsid w:val="14103A0E"/>
    <w:rsid w:val="143C2A55"/>
    <w:rsid w:val="144933C4"/>
    <w:rsid w:val="14667AD2"/>
    <w:rsid w:val="14B00D4D"/>
    <w:rsid w:val="14B545B5"/>
    <w:rsid w:val="14C34F24"/>
    <w:rsid w:val="14E8498B"/>
    <w:rsid w:val="15003A82"/>
    <w:rsid w:val="150B2427"/>
    <w:rsid w:val="150F0169"/>
    <w:rsid w:val="151722E8"/>
    <w:rsid w:val="153951E6"/>
    <w:rsid w:val="154D47EE"/>
    <w:rsid w:val="156009C5"/>
    <w:rsid w:val="156D6C3E"/>
    <w:rsid w:val="15CA22E2"/>
    <w:rsid w:val="16105F47"/>
    <w:rsid w:val="162776F9"/>
    <w:rsid w:val="162B0FD3"/>
    <w:rsid w:val="162E2871"/>
    <w:rsid w:val="164147B3"/>
    <w:rsid w:val="165322D8"/>
    <w:rsid w:val="165A18B8"/>
    <w:rsid w:val="165A3666"/>
    <w:rsid w:val="168129A1"/>
    <w:rsid w:val="16A668AC"/>
    <w:rsid w:val="16C531D6"/>
    <w:rsid w:val="16CB00C0"/>
    <w:rsid w:val="16DF47F9"/>
    <w:rsid w:val="16F5513D"/>
    <w:rsid w:val="172C5003"/>
    <w:rsid w:val="1735378C"/>
    <w:rsid w:val="174C1201"/>
    <w:rsid w:val="17514A69"/>
    <w:rsid w:val="175B1444"/>
    <w:rsid w:val="175E2CE2"/>
    <w:rsid w:val="17716EB9"/>
    <w:rsid w:val="17D17958"/>
    <w:rsid w:val="17D20FAB"/>
    <w:rsid w:val="17DE07C9"/>
    <w:rsid w:val="17E01949"/>
    <w:rsid w:val="18100480"/>
    <w:rsid w:val="18477C1A"/>
    <w:rsid w:val="184C5231"/>
    <w:rsid w:val="186500A0"/>
    <w:rsid w:val="186C142F"/>
    <w:rsid w:val="186C7681"/>
    <w:rsid w:val="18736C61"/>
    <w:rsid w:val="189F1804"/>
    <w:rsid w:val="18BA4890"/>
    <w:rsid w:val="18BC5F12"/>
    <w:rsid w:val="18BF3C55"/>
    <w:rsid w:val="18D07C10"/>
    <w:rsid w:val="18D70F9E"/>
    <w:rsid w:val="18F865BB"/>
    <w:rsid w:val="19107413"/>
    <w:rsid w:val="192D5062"/>
    <w:rsid w:val="195919B3"/>
    <w:rsid w:val="197E766C"/>
    <w:rsid w:val="19AC41D9"/>
    <w:rsid w:val="19B65058"/>
    <w:rsid w:val="19C57049"/>
    <w:rsid w:val="19CC487B"/>
    <w:rsid w:val="19EF056A"/>
    <w:rsid w:val="1A1D0C33"/>
    <w:rsid w:val="1A4408B5"/>
    <w:rsid w:val="1A705206"/>
    <w:rsid w:val="1A710F7F"/>
    <w:rsid w:val="1A882F81"/>
    <w:rsid w:val="1A8B2040"/>
    <w:rsid w:val="1A8D05AB"/>
    <w:rsid w:val="1A8D49B7"/>
    <w:rsid w:val="1AB727B4"/>
    <w:rsid w:val="1AEB0D31"/>
    <w:rsid w:val="1AEE25CF"/>
    <w:rsid w:val="1AFC6A9A"/>
    <w:rsid w:val="1B177D78"/>
    <w:rsid w:val="1B1C538E"/>
    <w:rsid w:val="1B3E70B3"/>
    <w:rsid w:val="1B4072CF"/>
    <w:rsid w:val="1B4D5548"/>
    <w:rsid w:val="1B606886"/>
    <w:rsid w:val="1B662AAD"/>
    <w:rsid w:val="1B974A15"/>
    <w:rsid w:val="1BA11438"/>
    <w:rsid w:val="1BA23AE5"/>
    <w:rsid w:val="1BAD5FE6"/>
    <w:rsid w:val="1BD23C9F"/>
    <w:rsid w:val="1BD25A4D"/>
    <w:rsid w:val="1C1442B7"/>
    <w:rsid w:val="1C25283A"/>
    <w:rsid w:val="1C6012AB"/>
    <w:rsid w:val="1C7348E2"/>
    <w:rsid w:val="1C782A98"/>
    <w:rsid w:val="1C8A6328"/>
    <w:rsid w:val="1C9C7069"/>
    <w:rsid w:val="1C9F11F5"/>
    <w:rsid w:val="1CC96E50"/>
    <w:rsid w:val="1CD04682"/>
    <w:rsid w:val="1CD87093"/>
    <w:rsid w:val="1D126A49"/>
    <w:rsid w:val="1D1E53EE"/>
    <w:rsid w:val="1D2B7B0B"/>
    <w:rsid w:val="1D412E8A"/>
    <w:rsid w:val="1D450324"/>
    <w:rsid w:val="1D79498D"/>
    <w:rsid w:val="1D886D0B"/>
    <w:rsid w:val="1DDE2DCF"/>
    <w:rsid w:val="1DE2466D"/>
    <w:rsid w:val="1E032835"/>
    <w:rsid w:val="1E0C793C"/>
    <w:rsid w:val="1E0F4D36"/>
    <w:rsid w:val="1E1B7B7F"/>
    <w:rsid w:val="1E4F7829"/>
    <w:rsid w:val="1E6C6D59"/>
    <w:rsid w:val="1E8A260F"/>
    <w:rsid w:val="1E8E20FF"/>
    <w:rsid w:val="1E8F5E77"/>
    <w:rsid w:val="1E970363"/>
    <w:rsid w:val="1EBE07A6"/>
    <w:rsid w:val="1EC93137"/>
    <w:rsid w:val="1EF83A1C"/>
    <w:rsid w:val="1EFA59E6"/>
    <w:rsid w:val="1EFF124F"/>
    <w:rsid w:val="1F3C5FFF"/>
    <w:rsid w:val="1F572E70"/>
    <w:rsid w:val="1F6B68E4"/>
    <w:rsid w:val="1F797D37"/>
    <w:rsid w:val="1FA85442"/>
    <w:rsid w:val="1FAF67D1"/>
    <w:rsid w:val="1FB5190D"/>
    <w:rsid w:val="1FC41B50"/>
    <w:rsid w:val="1FD75D28"/>
    <w:rsid w:val="1FF22B62"/>
    <w:rsid w:val="1FF97A4C"/>
    <w:rsid w:val="1FFE5062"/>
    <w:rsid w:val="200959C5"/>
    <w:rsid w:val="20124FB2"/>
    <w:rsid w:val="201523AC"/>
    <w:rsid w:val="2027280B"/>
    <w:rsid w:val="20407429"/>
    <w:rsid w:val="20517888"/>
    <w:rsid w:val="20875C43"/>
    <w:rsid w:val="208F03B0"/>
    <w:rsid w:val="20967991"/>
    <w:rsid w:val="210963B5"/>
    <w:rsid w:val="211F7986"/>
    <w:rsid w:val="214F03C4"/>
    <w:rsid w:val="21502B29"/>
    <w:rsid w:val="216354F4"/>
    <w:rsid w:val="21696E53"/>
    <w:rsid w:val="217C6B87"/>
    <w:rsid w:val="218E5D56"/>
    <w:rsid w:val="219914E7"/>
    <w:rsid w:val="21A12149"/>
    <w:rsid w:val="21D34FB0"/>
    <w:rsid w:val="21F77FBB"/>
    <w:rsid w:val="21FC7CC7"/>
    <w:rsid w:val="22031056"/>
    <w:rsid w:val="22235254"/>
    <w:rsid w:val="226715E5"/>
    <w:rsid w:val="22717D6E"/>
    <w:rsid w:val="2274785E"/>
    <w:rsid w:val="228F28EA"/>
    <w:rsid w:val="22A87507"/>
    <w:rsid w:val="22C34341"/>
    <w:rsid w:val="22C95DFC"/>
    <w:rsid w:val="2309269C"/>
    <w:rsid w:val="234731C4"/>
    <w:rsid w:val="235C0A1E"/>
    <w:rsid w:val="23645B24"/>
    <w:rsid w:val="23810484"/>
    <w:rsid w:val="2398757C"/>
    <w:rsid w:val="23C24E9A"/>
    <w:rsid w:val="23E427C1"/>
    <w:rsid w:val="23E459A8"/>
    <w:rsid w:val="240D3AC6"/>
    <w:rsid w:val="24107A5A"/>
    <w:rsid w:val="241906BD"/>
    <w:rsid w:val="243472A5"/>
    <w:rsid w:val="24521E21"/>
    <w:rsid w:val="245D5B75"/>
    <w:rsid w:val="245F009A"/>
    <w:rsid w:val="248F4E23"/>
    <w:rsid w:val="24997A50"/>
    <w:rsid w:val="24A361D8"/>
    <w:rsid w:val="24C50845"/>
    <w:rsid w:val="24C543A1"/>
    <w:rsid w:val="24EA02AB"/>
    <w:rsid w:val="24F353B2"/>
    <w:rsid w:val="250824DF"/>
    <w:rsid w:val="25115838"/>
    <w:rsid w:val="252C08C4"/>
    <w:rsid w:val="25302162"/>
    <w:rsid w:val="25333A00"/>
    <w:rsid w:val="253A4D8F"/>
    <w:rsid w:val="253F4153"/>
    <w:rsid w:val="255C294B"/>
    <w:rsid w:val="25EC10B5"/>
    <w:rsid w:val="26154EB4"/>
    <w:rsid w:val="264A1001"/>
    <w:rsid w:val="266B4401"/>
    <w:rsid w:val="26834513"/>
    <w:rsid w:val="26881B2A"/>
    <w:rsid w:val="26914E82"/>
    <w:rsid w:val="26FB5BF9"/>
    <w:rsid w:val="273D2914"/>
    <w:rsid w:val="27514612"/>
    <w:rsid w:val="2753038A"/>
    <w:rsid w:val="277125BE"/>
    <w:rsid w:val="27802801"/>
    <w:rsid w:val="27C052F3"/>
    <w:rsid w:val="27C546B8"/>
    <w:rsid w:val="27CB6172"/>
    <w:rsid w:val="27CE5C62"/>
    <w:rsid w:val="27CE7C21"/>
    <w:rsid w:val="27E2526A"/>
    <w:rsid w:val="280E14F2"/>
    <w:rsid w:val="28575C58"/>
    <w:rsid w:val="2859377E"/>
    <w:rsid w:val="285E13AD"/>
    <w:rsid w:val="28681C13"/>
    <w:rsid w:val="28AD1D1C"/>
    <w:rsid w:val="28AD3ACA"/>
    <w:rsid w:val="28CF57EE"/>
    <w:rsid w:val="28F25980"/>
    <w:rsid w:val="28F45255"/>
    <w:rsid w:val="28FD67FF"/>
    <w:rsid w:val="291B0A33"/>
    <w:rsid w:val="292D0766"/>
    <w:rsid w:val="29514455"/>
    <w:rsid w:val="29543F45"/>
    <w:rsid w:val="29746395"/>
    <w:rsid w:val="298A7BDE"/>
    <w:rsid w:val="29C410CB"/>
    <w:rsid w:val="29DD218D"/>
    <w:rsid w:val="2A007C29"/>
    <w:rsid w:val="2A0140CD"/>
    <w:rsid w:val="2A3049B2"/>
    <w:rsid w:val="2A383867"/>
    <w:rsid w:val="2A3873C3"/>
    <w:rsid w:val="2A4734EC"/>
    <w:rsid w:val="2A585CB7"/>
    <w:rsid w:val="2A587A65"/>
    <w:rsid w:val="2A8B1BE9"/>
    <w:rsid w:val="2A9A1E2C"/>
    <w:rsid w:val="2AD417E1"/>
    <w:rsid w:val="2AE00186"/>
    <w:rsid w:val="2B08532A"/>
    <w:rsid w:val="2B0B4AD7"/>
    <w:rsid w:val="2B0F281A"/>
    <w:rsid w:val="2B0F45C8"/>
    <w:rsid w:val="2B275DB5"/>
    <w:rsid w:val="2B764647"/>
    <w:rsid w:val="2BA02E46"/>
    <w:rsid w:val="2BE21CDC"/>
    <w:rsid w:val="2BE45DE6"/>
    <w:rsid w:val="2BED68A1"/>
    <w:rsid w:val="2C1B0D4A"/>
    <w:rsid w:val="2C2267D2"/>
    <w:rsid w:val="2C7A1F15"/>
    <w:rsid w:val="2C964522"/>
    <w:rsid w:val="2CA174A1"/>
    <w:rsid w:val="2CA64AB8"/>
    <w:rsid w:val="2CB05936"/>
    <w:rsid w:val="2D105B5A"/>
    <w:rsid w:val="2D1660E1"/>
    <w:rsid w:val="2D214A86"/>
    <w:rsid w:val="2D2325AC"/>
    <w:rsid w:val="2D2A56E9"/>
    <w:rsid w:val="2D3E1194"/>
    <w:rsid w:val="2D4B38B1"/>
    <w:rsid w:val="2D4D587B"/>
    <w:rsid w:val="2D5B1D46"/>
    <w:rsid w:val="2D614E83"/>
    <w:rsid w:val="2D6F57F1"/>
    <w:rsid w:val="2D71156A"/>
    <w:rsid w:val="2D86482C"/>
    <w:rsid w:val="2D9B2143"/>
    <w:rsid w:val="2DAC25A2"/>
    <w:rsid w:val="2DC31699"/>
    <w:rsid w:val="2DC55411"/>
    <w:rsid w:val="2DD13DB6"/>
    <w:rsid w:val="2DFD1E72"/>
    <w:rsid w:val="2E0028ED"/>
    <w:rsid w:val="2E187C37"/>
    <w:rsid w:val="2EB77450"/>
    <w:rsid w:val="2EC851B9"/>
    <w:rsid w:val="2ED159FC"/>
    <w:rsid w:val="2ED973C6"/>
    <w:rsid w:val="2EF51D26"/>
    <w:rsid w:val="2F171C9D"/>
    <w:rsid w:val="2F407445"/>
    <w:rsid w:val="2F4A02C4"/>
    <w:rsid w:val="2FCC6F2B"/>
    <w:rsid w:val="2FD47B8E"/>
    <w:rsid w:val="30006BD5"/>
    <w:rsid w:val="30110DE2"/>
    <w:rsid w:val="301478D1"/>
    <w:rsid w:val="303074BA"/>
    <w:rsid w:val="30442F65"/>
    <w:rsid w:val="304940D8"/>
    <w:rsid w:val="305807BF"/>
    <w:rsid w:val="3062519A"/>
    <w:rsid w:val="308415B4"/>
    <w:rsid w:val="30977205"/>
    <w:rsid w:val="30F229C1"/>
    <w:rsid w:val="30FD2330"/>
    <w:rsid w:val="310821E5"/>
    <w:rsid w:val="310B5831"/>
    <w:rsid w:val="31210BB1"/>
    <w:rsid w:val="313F372D"/>
    <w:rsid w:val="314423A4"/>
    <w:rsid w:val="314F1BC2"/>
    <w:rsid w:val="315E0057"/>
    <w:rsid w:val="31807FCD"/>
    <w:rsid w:val="31943A79"/>
    <w:rsid w:val="31B92ACD"/>
    <w:rsid w:val="31BE28A4"/>
    <w:rsid w:val="31CA749A"/>
    <w:rsid w:val="31FC2FF6"/>
    <w:rsid w:val="321B5F48"/>
    <w:rsid w:val="321D734F"/>
    <w:rsid w:val="32316859"/>
    <w:rsid w:val="32351CFA"/>
    <w:rsid w:val="323D1A1A"/>
    <w:rsid w:val="3240775C"/>
    <w:rsid w:val="32432DA9"/>
    <w:rsid w:val="32452FC5"/>
    <w:rsid w:val="324E1E79"/>
    <w:rsid w:val="32627778"/>
    <w:rsid w:val="3281224F"/>
    <w:rsid w:val="32843AED"/>
    <w:rsid w:val="32877139"/>
    <w:rsid w:val="32894C60"/>
    <w:rsid w:val="32D560F7"/>
    <w:rsid w:val="33062754"/>
    <w:rsid w:val="33122EA7"/>
    <w:rsid w:val="331B4D38"/>
    <w:rsid w:val="332B3F69"/>
    <w:rsid w:val="33362F81"/>
    <w:rsid w:val="336D632F"/>
    <w:rsid w:val="33723946"/>
    <w:rsid w:val="33925D96"/>
    <w:rsid w:val="33971D55"/>
    <w:rsid w:val="33B57CD6"/>
    <w:rsid w:val="33BD5C2B"/>
    <w:rsid w:val="33C00B55"/>
    <w:rsid w:val="33C65A3F"/>
    <w:rsid w:val="33D66928"/>
    <w:rsid w:val="341E1D1F"/>
    <w:rsid w:val="341E587B"/>
    <w:rsid w:val="342A06C4"/>
    <w:rsid w:val="3445105A"/>
    <w:rsid w:val="344D7F0F"/>
    <w:rsid w:val="34580D8D"/>
    <w:rsid w:val="346040E6"/>
    <w:rsid w:val="346440F6"/>
    <w:rsid w:val="34645984"/>
    <w:rsid w:val="34AF2977"/>
    <w:rsid w:val="34BF2BBB"/>
    <w:rsid w:val="34C93A39"/>
    <w:rsid w:val="34D04DC8"/>
    <w:rsid w:val="34F0546A"/>
    <w:rsid w:val="34FA0097"/>
    <w:rsid w:val="34FF56AD"/>
    <w:rsid w:val="35040F15"/>
    <w:rsid w:val="351F18AB"/>
    <w:rsid w:val="35415CC5"/>
    <w:rsid w:val="35417A73"/>
    <w:rsid w:val="35521C81"/>
    <w:rsid w:val="35847960"/>
    <w:rsid w:val="35C16E06"/>
    <w:rsid w:val="35CB37E1"/>
    <w:rsid w:val="35DC59EE"/>
    <w:rsid w:val="35F04FF6"/>
    <w:rsid w:val="35F20D6E"/>
    <w:rsid w:val="35F72828"/>
    <w:rsid w:val="360A4309"/>
    <w:rsid w:val="36260A17"/>
    <w:rsid w:val="36363350"/>
    <w:rsid w:val="36493F00"/>
    <w:rsid w:val="364A0BAA"/>
    <w:rsid w:val="366003CD"/>
    <w:rsid w:val="36743E79"/>
    <w:rsid w:val="368A0AF1"/>
    <w:rsid w:val="368F0CB2"/>
    <w:rsid w:val="36A858D0"/>
    <w:rsid w:val="36AC53C0"/>
    <w:rsid w:val="36AD2EE7"/>
    <w:rsid w:val="36E25286"/>
    <w:rsid w:val="36E763F9"/>
    <w:rsid w:val="36F56D67"/>
    <w:rsid w:val="371116C7"/>
    <w:rsid w:val="373158C6"/>
    <w:rsid w:val="376E6CCD"/>
    <w:rsid w:val="37702892"/>
    <w:rsid w:val="377203B8"/>
    <w:rsid w:val="3777580F"/>
    <w:rsid w:val="377A101B"/>
    <w:rsid w:val="378D51F2"/>
    <w:rsid w:val="379E11AD"/>
    <w:rsid w:val="37AE6F16"/>
    <w:rsid w:val="37B02C8E"/>
    <w:rsid w:val="37C60704"/>
    <w:rsid w:val="37EF3F18"/>
    <w:rsid w:val="37F7266B"/>
    <w:rsid w:val="381E409C"/>
    <w:rsid w:val="38237904"/>
    <w:rsid w:val="383438BF"/>
    <w:rsid w:val="386F66A6"/>
    <w:rsid w:val="3870241E"/>
    <w:rsid w:val="389D76B7"/>
    <w:rsid w:val="38C2711D"/>
    <w:rsid w:val="38DE1A7D"/>
    <w:rsid w:val="38E76B84"/>
    <w:rsid w:val="38FF05CB"/>
    <w:rsid w:val="391334D5"/>
    <w:rsid w:val="39697599"/>
    <w:rsid w:val="39904B26"/>
    <w:rsid w:val="39E11825"/>
    <w:rsid w:val="39E41315"/>
    <w:rsid w:val="39EE7A9E"/>
    <w:rsid w:val="3A34714F"/>
    <w:rsid w:val="3A3951BD"/>
    <w:rsid w:val="3A3E27D3"/>
    <w:rsid w:val="3A4B5A36"/>
    <w:rsid w:val="3A543DA5"/>
    <w:rsid w:val="3A577D39"/>
    <w:rsid w:val="3A5B15D7"/>
    <w:rsid w:val="3A683CF4"/>
    <w:rsid w:val="3A773F37"/>
    <w:rsid w:val="3AC802EF"/>
    <w:rsid w:val="3AD43138"/>
    <w:rsid w:val="3AEA64B7"/>
    <w:rsid w:val="3AF45588"/>
    <w:rsid w:val="3B0A4DAB"/>
    <w:rsid w:val="3B1D063B"/>
    <w:rsid w:val="3B331C0C"/>
    <w:rsid w:val="3B585B17"/>
    <w:rsid w:val="3BA174BE"/>
    <w:rsid w:val="3BA42B0A"/>
    <w:rsid w:val="3BAA5C47"/>
    <w:rsid w:val="3BBD3BCC"/>
    <w:rsid w:val="3BCB453B"/>
    <w:rsid w:val="3BD24561"/>
    <w:rsid w:val="3BE21884"/>
    <w:rsid w:val="3BF13876"/>
    <w:rsid w:val="3C0B2B89"/>
    <w:rsid w:val="3C2D6FA3"/>
    <w:rsid w:val="3C5207B8"/>
    <w:rsid w:val="3C681D8A"/>
    <w:rsid w:val="3C8F5568"/>
    <w:rsid w:val="3C9B3F0D"/>
    <w:rsid w:val="3CA1704A"/>
    <w:rsid w:val="3CA31014"/>
    <w:rsid w:val="3CBE19AA"/>
    <w:rsid w:val="3CBE5E4E"/>
    <w:rsid w:val="3CD76F0F"/>
    <w:rsid w:val="3CEF6007"/>
    <w:rsid w:val="3D145A6E"/>
    <w:rsid w:val="3D4A148F"/>
    <w:rsid w:val="3D6E33D0"/>
    <w:rsid w:val="3D6E51A6"/>
    <w:rsid w:val="3D793B23"/>
    <w:rsid w:val="3D87623F"/>
    <w:rsid w:val="3D962926"/>
    <w:rsid w:val="3D9F5C7F"/>
    <w:rsid w:val="3DA70690"/>
    <w:rsid w:val="3DCB0822"/>
    <w:rsid w:val="3DEC051B"/>
    <w:rsid w:val="3DF80EEB"/>
    <w:rsid w:val="3DFD4754"/>
    <w:rsid w:val="3E09759C"/>
    <w:rsid w:val="3E5D51F2"/>
    <w:rsid w:val="3E7013C9"/>
    <w:rsid w:val="3E75253C"/>
    <w:rsid w:val="3E950E30"/>
    <w:rsid w:val="3EA104F4"/>
    <w:rsid w:val="3EAB0654"/>
    <w:rsid w:val="3EB56DDC"/>
    <w:rsid w:val="3EBF1A09"/>
    <w:rsid w:val="3EC82FB3"/>
    <w:rsid w:val="3ED951C1"/>
    <w:rsid w:val="3EF618CF"/>
    <w:rsid w:val="3F1E7077"/>
    <w:rsid w:val="3F2301EA"/>
    <w:rsid w:val="3F2556EC"/>
    <w:rsid w:val="3F4A5777"/>
    <w:rsid w:val="3F5B7984"/>
    <w:rsid w:val="3F8213B4"/>
    <w:rsid w:val="3F95733A"/>
    <w:rsid w:val="3FB452E6"/>
    <w:rsid w:val="3FB86B84"/>
    <w:rsid w:val="3FC0723B"/>
    <w:rsid w:val="3FDA2F9E"/>
    <w:rsid w:val="3FEC0F24"/>
    <w:rsid w:val="3FF658FE"/>
    <w:rsid w:val="40442B0E"/>
    <w:rsid w:val="4047615A"/>
    <w:rsid w:val="40642868"/>
    <w:rsid w:val="40730CFD"/>
    <w:rsid w:val="40925627"/>
    <w:rsid w:val="40AD0A68"/>
    <w:rsid w:val="40C81049"/>
    <w:rsid w:val="40EC69F2"/>
    <w:rsid w:val="410858E9"/>
    <w:rsid w:val="41287D39"/>
    <w:rsid w:val="41326E0A"/>
    <w:rsid w:val="41401527"/>
    <w:rsid w:val="41760AA5"/>
    <w:rsid w:val="41CC6917"/>
    <w:rsid w:val="41FD4D22"/>
    <w:rsid w:val="4202058A"/>
    <w:rsid w:val="420F4A55"/>
    <w:rsid w:val="4214206C"/>
    <w:rsid w:val="421A1D78"/>
    <w:rsid w:val="42293D69"/>
    <w:rsid w:val="42446DF5"/>
    <w:rsid w:val="424B0183"/>
    <w:rsid w:val="425132C0"/>
    <w:rsid w:val="42576000"/>
    <w:rsid w:val="425B7C9B"/>
    <w:rsid w:val="426643A2"/>
    <w:rsid w:val="4269685C"/>
    <w:rsid w:val="42A258CA"/>
    <w:rsid w:val="42B555FD"/>
    <w:rsid w:val="42CD2946"/>
    <w:rsid w:val="430A1DED"/>
    <w:rsid w:val="432804C5"/>
    <w:rsid w:val="432B58BF"/>
    <w:rsid w:val="4355293C"/>
    <w:rsid w:val="43572B58"/>
    <w:rsid w:val="436A288B"/>
    <w:rsid w:val="436B215F"/>
    <w:rsid w:val="438C0A54"/>
    <w:rsid w:val="43E4263E"/>
    <w:rsid w:val="43FE2FD4"/>
    <w:rsid w:val="44222311"/>
    <w:rsid w:val="4436451B"/>
    <w:rsid w:val="443F1622"/>
    <w:rsid w:val="447F5EC2"/>
    <w:rsid w:val="448B0D0B"/>
    <w:rsid w:val="44AB315B"/>
    <w:rsid w:val="44AB6CB7"/>
    <w:rsid w:val="44BC7116"/>
    <w:rsid w:val="45120AE5"/>
    <w:rsid w:val="451E392D"/>
    <w:rsid w:val="45352A25"/>
    <w:rsid w:val="455E1514"/>
    <w:rsid w:val="45AB26D8"/>
    <w:rsid w:val="45B222C8"/>
    <w:rsid w:val="45C30031"/>
    <w:rsid w:val="45DE130F"/>
    <w:rsid w:val="45E87A97"/>
    <w:rsid w:val="45FE72BB"/>
    <w:rsid w:val="46032B23"/>
    <w:rsid w:val="46160AA8"/>
    <w:rsid w:val="461864F7"/>
    <w:rsid w:val="46244F73"/>
    <w:rsid w:val="463E737E"/>
    <w:rsid w:val="46827EEC"/>
    <w:rsid w:val="46BA7686"/>
    <w:rsid w:val="46E666CD"/>
    <w:rsid w:val="470D5A07"/>
    <w:rsid w:val="4746716B"/>
    <w:rsid w:val="4760647F"/>
    <w:rsid w:val="477A6E15"/>
    <w:rsid w:val="47AC615E"/>
    <w:rsid w:val="47B42327"/>
    <w:rsid w:val="47CB6AB5"/>
    <w:rsid w:val="47E56984"/>
    <w:rsid w:val="47EC7D13"/>
    <w:rsid w:val="47FB1D04"/>
    <w:rsid w:val="481903DC"/>
    <w:rsid w:val="48312339"/>
    <w:rsid w:val="487A531F"/>
    <w:rsid w:val="489F6B33"/>
    <w:rsid w:val="48D16F09"/>
    <w:rsid w:val="48D32C81"/>
    <w:rsid w:val="48F6071D"/>
    <w:rsid w:val="48F762B1"/>
    <w:rsid w:val="48F86243"/>
    <w:rsid w:val="48FF5824"/>
    <w:rsid w:val="4910358D"/>
    <w:rsid w:val="491312CF"/>
    <w:rsid w:val="493F3E72"/>
    <w:rsid w:val="49444D9A"/>
    <w:rsid w:val="498F4DFA"/>
    <w:rsid w:val="49CA4084"/>
    <w:rsid w:val="49EC3FFA"/>
    <w:rsid w:val="49ED7D72"/>
    <w:rsid w:val="49F44C5D"/>
    <w:rsid w:val="4A064990"/>
    <w:rsid w:val="4A123335"/>
    <w:rsid w:val="4A266DE0"/>
    <w:rsid w:val="4A5B2F2E"/>
    <w:rsid w:val="4A62250E"/>
    <w:rsid w:val="4A630034"/>
    <w:rsid w:val="4A881849"/>
    <w:rsid w:val="4AE178D7"/>
    <w:rsid w:val="4AE50A49"/>
    <w:rsid w:val="4AEB2504"/>
    <w:rsid w:val="4B074E64"/>
    <w:rsid w:val="4B1D01E3"/>
    <w:rsid w:val="4B2E419E"/>
    <w:rsid w:val="4B49547C"/>
    <w:rsid w:val="4B64122D"/>
    <w:rsid w:val="4B7047B7"/>
    <w:rsid w:val="4B8464B4"/>
    <w:rsid w:val="4BB9615E"/>
    <w:rsid w:val="4BEC559B"/>
    <w:rsid w:val="4BFB1A82"/>
    <w:rsid w:val="4BFE1DC3"/>
    <w:rsid w:val="4C0118B3"/>
    <w:rsid w:val="4C286E40"/>
    <w:rsid w:val="4C35155C"/>
    <w:rsid w:val="4C453E95"/>
    <w:rsid w:val="4C59349D"/>
    <w:rsid w:val="4C793B3F"/>
    <w:rsid w:val="4CCC3C6F"/>
    <w:rsid w:val="4CE76CFB"/>
    <w:rsid w:val="4CFD02CC"/>
    <w:rsid w:val="4D153868"/>
    <w:rsid w:val="4D2A6BE7"/>
    <w:rsid w:val="4D2C0BB1"/>
    <w:rsid w:val="4D454DB3"/>
    <w:rsid w:val="4D7309D2"/>
    <w:rsid w:val="4D8D1626"/>
    <w:rsid w:val="4D8E0F28"/>
    <w:rsid w:val="4D930075"/>
    <w:rsid w:val="4DAB41CC"/>
    <w:rsid w:val="4DB52955"/>
    <w:rsid w:val="4DCB3F26"/>
    <w:rsid w:val="4DCE1C69"/>
    <w:rsid w:val="4DE374C2"/>
    <w:rsid w:val="4DE84AD8"/>
    <w:rsid w:val="4DF01BDF"/>
    <w:rsid w:val="4DF3347D"/>
    <w:rsid w:val="4E244B3D"/>
    <w:rsid w:val="4E281166"/>
    <w:rsid w:val="4E3C4E24"/>
    <w:rsid w:val="4E6323B1"/>
    <w:rsid w:val="4E816CDB"/>
    <w:rsid w:val="4EE2777A"/>
    <w:rsid w:val="4EE31744"/>
    <w:rsid w:val="4F041DE6"/>
    <w:rsid w:val="4F247D92"/>
    <w:rsid w:val="4F31425D"/>
    <w:rsid w:val="4F473A81"/>
    <w:rsid w:val="4F6C1739"/>
    <w:rsid w:val="4FBF3F5F"/>
    <w:rsid w:val="4FC357FD"/>
    <w:rsid w:val="4FE637B3"/>
    <w:rsid w:val="4FE70DC0"/>
    <w:rsid w:val="501716A5"/>
    <w:rsid w:val="501E0C85"/>
    <w:rsid w:val="501E5C27"/>
    <w:rsid w:val="508036EE"/>
    <w:rsid w:val="50926F7D"/>
    <w:rsid w:val="509E1DC6"/>
    <w:rsid w:val="50A13664"/>
    <w:rsid w:val="50D91050"/>
    <w:rsid w:val="50DD28EE"/>
    <w:rsid w:val="51025EB1"/>
    <w:rsid w:val="511107EA"/>
    <w:rsid w:val="51402E7D"/>
    <w:rsid w:val="51452242"/>
    <w:rsid w:val="515B3813"/>
    <w:rsid w:val="5167040A"/>
    <w:rsid w:val="51AF590D"/>
    <w:rsid w:val="51D610EC"/>
    <w:rsid w:val="51F15F26"/>
    <w:rsid w:val="51F85506"/>
    <w:rsid w:val="52155D84"/>
    <w:rsid w:val="522732D3"/>
    <w:rsid w:val="52291B63"/>
    <w:rsid w:val="522E717A"/>
    <w:rsid w:val="5242440B"/>
    <w:rsid w:val="52466271"/>
    <w:rsid w:val="529C0587"/>
    <w:rsid w:val="52A40059"/>
    <w:rsid w:val="52D27B05"/>
    <w:rsid w:val="52FB3500"/>
    <w:rsid w:val="53163E96"/>
    <w:rsid w:val="5317593D"/>
    <w:rsid w:val="53191BD8"/>
    <w:rsid w:val="532F6D06"/>
    <w:rsid w:val="533B56AA"/>
    <w:rsid w:val="535D3873"/>
    <w:rsid w:val="536A5F90"/>
    <w:rsid w:val="537D2167"/>
    <w:rsid w:val="53803A05"/>
    <w:rsid w:val="53986FA1"/>
    <w:rsid w:val="53B10062"/>
    <w:rsid w:val="53B67427"/>
    <w:rsid w:val="53C5766A"/>
    <w:rsid w:val="53DA3115"/>
    <w:rsid w:val="53E61ABA"/>
    <w:rsid w:val="53E67D0C"/>
    <w:rsid w:val="543640C4"/>
    <w:rsid w:val="54387E3C"/>
    <w:rsid w:val="54420CBA"/>
    <w:rsid w:val="545C1F32"/>
    <w:rsid w:val="549403A6"/>
    <w:rsid w:val="54F226E1"/>
    <w:rsid w:val="55236D3E"/>
    <w:rsid w:val="552C5BF2"/>
    <w:rsid w:val="5552317F"/>
    <w:rsid w:val="555B07B2"/>
    <w:rsid w:val="555D2250"/>
    <w:rsid w:val="557E6B5E"/>
    <w:rsid w:val="55A32FF3"/>
    <w:rsid w:val="55AE6607"/>
    <w:rsid w:val="55C0458D"/>
    <w:rsid w:val="55C53951"/>
    <w:rsid w:val="55CC4CE0"/>
    <w:rsid w:val="55D32210"/>
    <w:rsid w:val="55F61D5C"/>
    <w:rsid w:val="567A0BDF"/>
    <w:rsid w:val="568B4B9B"/>
    <w:rsid w:val="568F468B"/>
    <w:rsid w:val="56AD4B11"/>
    <w:rsid w:val="56E0170A"/>
    <w:rsid w:val="56FE35BF"/>
    <w:rsid w:val="57256D9D"/>
    <w:rsid w:val="57346C7B"/>
    <w:rsid w:val="57372C85"/>
    <w:rsid w:val="573E7E5F"/>
    <w:rsid w:val="5751442E"/>
    <w:rsid w:val="57671164"/>
    <w:rsid w:val="57715B3F"/>
    <w:rsid w:val="57723665"/>
    <w:rsid w:val="577E200A"/>
    <w:rsid w:val="57811AFA"/>
    <w:rsid w:val="57882E88"/>
    <w:rsid w:val="57A71560"/>
    <w:rsid w:val="57B91294"/>
    <w:rsid w:val="57B95737"/>
    <w:rsid w:val="57E75E01"/>
    <w:rsid w:val="57F30C49"/>
    <w:rsid w:val="57F66044"/>
    <w:rsid w:val="57FB0521"/>
    <w:rsid w:val="580A7D41"/>
    <w:rsid w:val="580C1D0B"/>
    <w:rsid w:val="581806B0"/>
    <w:rsid w:val="58201313"/>
    <w:rsid w:val="583152CE"/>
    <w:rsid w:val="5847689F"/>
    <w:rsid w:val="584E40D2"/>
    <w:rsid w:val="58704FD7"/>
    <w:rsid w:val="589C6BEB"/>
    <w:rsid w:val="58B02697"/>
    <w:rsid w:val="58BF2A88"/>
    <w:rsid w:val="58FC58DC"/>
    <w:rsid w:val="592117E6"/>
    <w:rsid w:val="594A6647"/>
    <w:rsid w:val="595B7E0E"/>
    <w:rsid w:val="59611BE3"/>
    <w:rsid w:val="59637709"/>
    <w:rsid w:val="59A87812"/>
    <w:rsid w:val="59AA5338"/>
    <w:rsid w:val="59B830F2"/>
    <w:rsid w:val="59C06909"/>
    <w:rsid w:val="5A0233C6"/>
    <w:rsid w:val="5A0E58C7"/>
    <w:rsid w:val="5A70032F"/>
    <w:rsid w:val="5A9A35FE"/>
    <w:rsid w:val="5AA955EF"/>
    <w:rsid w:val="5AB52D5D"/>
    <w:rsid w:val="5ABA77FD"/>
    <w:rsid w:val="5ACC13AD"/>
    <w:rsid w:val="5B372BFB"/>
    <w:rsid w:val="5B4812AC"/>
    <w:rsid w:val="5B8F70EE"/>
    <w:rsid w:val="5B9E2C7A"/>
    <w:rsid w:val="5BB4249E"/>
    <w:rsid w:val="5BE74621"/>
    <w:rsid w:val="5C013209"/>
    <w:rsid w:val="5C166CB5"/>
    <w:rsid w:val="5C1B6C3A"/>
    <w:rsid w:val="5C515F3F"/>
    <w:rsid w:val="5C78171D"/>
    <w:rsid w:val="5CA02A22"/>
    <w:rsid w:val="5CD32DF8"/>
    <w:rsid w:val="5CE2128D"/>
    <w:rsid w:val="5CFB5EAA"/>
    <w:rsid w:val="5D07484F"/>
    <w:rsid w:val="5D121B72"/>
    <w:rsid w:val="5D543F38"/>
    <w:rsid w:val="5D5C103F"/>
    <w:rsid w:val="5D885990"/>
    <w:rsid w:val="5D9C58DF"/>
    <w:rsid w:val="5DB70023"/>
    <w:rsid w:val="5DCF35BF"/>
    <w:rsid w:val="5DF474C9"/>
    <w:rsid w:val="5E0D2339"/>
    <w:rsid w:val="5E0E058B"/>
    <w:rsid w:val="5E357859"/>
    <w:rsid w:val="5E40270F"/>
    <w:rsid w:val="5E4D0988"/>
    <w:rsid w:val="5E5343A2"/>
    <w:rsid w:val="5E5D0BCB"/>
    <w:rsid w:val="5E802B0B"/>
    <w:rsid w:val="5EA83F26"/>
    <w:rsid w:val="5EAC56AE"/>
    <w:rsid w:val="5EBD5B0D"/>
    <w:rsid w:val="5F13572D"/>
    <w:rsid w:val="5F1C2834"/>
    <w:rsid w:val="5F221E14"/>
    <w:rsid w:val="5F3C2ED6"/>
    <w:rsid w:val="5F593A88"/>
    <w:rsid w:val="5FD2383A"/>
    <w:rsid w:val="601E082E"/>
    <w:rsid w:val="602045A6"/>
    <w:rsid w:val="60255718"/>
    <w:rsid w:val="60285208"/>
    <w:rsid w:val="603040BD"/>
    <w:rsid w:val="60624BBE"/>
    <w:rsid w:val="6085265B"/>
    <w:rsid w:val="608C1C3B"/>
    <w:rsid w:val="60B66CB8"/>
    <w:rsid w:val="60C018E5"/>
    <w:rsid w:val="60C90799"/>
    <w:rsid w:val="60D55390"/>
    <w:rsid w:val="60DB227B"/>
    <w:rsid w:val="60DD1D53"/>
    <w:rsid w:val="60EB69F2"/>
    <w:rsid w:val="610E43FE"/>
    <w:rsid w:val="61112140"/>
    <w:rsid w:val="61311789"/>
    <w:rsid w:val="61326BA7"/>
    <w:rsid w:val="614E0C9F"/>
    <w:rsid w:val="6166248C"/>
    <w:rsid w:val="61776447"/>
    <w:rsid w:val="617A5F38"/>
    <w:rsid w:val="61826B9A"/>
    <w:rsid w:val="61A44D62"/>
    <w:rsid w:val="61CB6793"/>
    <w:rsid w:val="61D76EE6"/>
    <w:rsid w:val="622814F0"/>
    <w:rsid w:val="62292A8A"/>
    <w:rsid w:val="624A3B5C"/>
    <w:rsid w:val="625A5F86"/>
    <w:rsid w:val="62650996"/>
    <w:rsid w:val="627666FF"/>
    <w:rsid w:val="628C5F22"/>
    <w:rsid w:val="62AC2121"/>
    <w:rsid w:val="62B611F1"/>
    <w:rsid w:val="62D653F0"/>
    <w:rsid w:val="62EE098B"/>
    <w:rsid w:val="630961ED"/>
    <w:rsid w:val="630B004A"/>
    <w:rsid w:val="634B7B8C"/>
    <w:rsid w:val="63691DC0"/>
    <w:rsid w:val="637A3FCD"/>
    <w:rsid w:val="637F15E3"/>
    <w:rsid w:val="63864720"/>
    <w:rsid w:val="63A4729C"/>
    <w:rsid w:val="63C82F8A"/>
    <w:rsid w:val="63DA678C"/>
    <w:rsid w:val="63F83144"/>
    <w:rsid w:val="64063AB3"/>
    <w:rsid w:val="64104931"/>
    <w:rsid w:val="641937E6"/>
    <w:rsid w:val="641C32D6"/>
    <w:rsid w:val="641C5084"/>
    <w:rsid w:val="64267CB1"/>
    <w:rsid w:val="64583988"/>
    <w:rsid w:val="64654C7D"/>
    <w:rsid w:val="646709F5"/>
    <w:rsid w:val="64682077"/>
    <w:rsid w:val="646B1B68"/>
    <w:rsid w:val="64A01811"/>
    <w:rsid w:val="64B61035"/>
    <w:rsid w:val="64C85AC6"/>
    <w:rsid w:val="65053D6A"/>
    <w:rsid w:val="651B17E0"/>
    <w:rsid w:val="65263D08"/>
    <w:rsid w:val="652D7F60"/>
    <w:rsid w:val="653528A1"/>
    <w:rsid w:val="653D1756"/>
    <w:rsid w:val="653D52B2"/>
    <w:rsid w:val="65757142"/>
    <w:rsid w:val="658630FD"/>
    <w:rsid w:val="65CA4183"/>
    <w:rsid w:val="65D8322D"/>
    <w:rsid w:val="65F91B21"/>
    <w:rsid w:val="65FF07B9"/>
    <w:rsid w:val="660404C6"/>
    <w:rsid w:val="66157FDD"/>
    <w:rsid w:val="66173D55"/>
    <w:rsid w:val="662841B4"/>
    <w:rsid w:val="664A412A"/>
    <w:rsid w:val="665925BF"/>
    <w:rsid w:val="66723681"/>
    <w:rsid w:val="668D4017"/>
    <w:rsid w:val="66A6332B"/>
    <w:rsid w:val="66B23A7E"/>
    <w:rsid w:val="66D47E98"/>
    <w:rsid w:val="66F145A6"/>
    <w:rsid w:val="66F81DD8"/>
    <w:rsid w:val="674943E2"/>
    <w:rsid w:val="67696832"/>
    <w:rsid w:val="67915D89"/>
    <w:rsid w:val="679413D5"/>
    <w:rsid w:val="67D83A74"/>
    <w:rsid w:val="67F325A0"/>
    <w:rsid w:val="67F51E74"/>
    <w:rsid w:val="67FA56DC"/>
    <w:rsid w:val="68040309"/>
    <w:rsid w:val="680622D3"/>
    <w:rsid w:val="68194172"/>
    <w:rsid w:val="68332C5A"/>
    <w:rsid w:val="684A6664"/>
    <w:rsid w:val="688558EE"/>
    <w:rsid w:val="689E42BA"/>
    <w:rsid w:val="68A51AEC"/>
    <w:rsid w:val="68B7181F"/>
    <w:rsid w:val="691C1682"/>
    <w:rsid w:val="691C6622"/>
    <w:rsid w:val="692769A5"/>
    <w:rsid w:val="69513A22"/>
    <w:rsid w:val="69782D5D"/>
    <w:rsid w:val="69855479"/>
    <w:rsid w:val="69886D18"/>
    <w:rsid w:val="69B1626F"/>
    <w:rsid w:val="69F10D61"/>
    <w:rsid w:val="69FC398E"/>
    <w:rsid w:val="6A1C5274"/>
    <w:rsid w:val="6A38073E"/>
    <w:rsid w:val="6A576E16"/>
    <w:rsid w:val="6A6652AB"/>
    <w:rsid w:val="6A883473"/>
    <w:rsid w:val="6A8D2838"/>
    <w:rsid w:val="6A9F07BD"/>
    <w:rsid w:val="6AA47B81"/>
    <w:rsid w:val="6AB204F0"/>
    <w:rsid w:val="6B252A70"/>
    <w:rsid w:val="6B2C2051"/>
    <w:rsid w:val="6B6F4633"/>
    <w:rsid w:val="6B9B2D32"/>
    <w:rsid w:val="6BAE6F0A"/>
    <w:rsid w:val="6BC77FCB"/>
    <w:rsid w:val="6BCF6E80"/>
    <w:rsid w:val="6C1C0317"/>
    <w:rsid w:val="6C2216A6"/>
    <w:rsid w:val="6C292A34"/>
    <w:rsid w:val="6C327B3B"/>
    <w:rsid w:val="6C517895"/>
    <w:rsid w:val="6C7041BF"/>
    <w:rsid w:val="6C7C0DB6"/>
    <w:rsid w:val="6C90660F"/>
    <w:rsid w:val="6C953C26"/>
    <w:rsid w:val="6CB87914"/>
    <w:rsid w:val="6CC07529"/>
    <w:rsid w:val="6CCB2BFF"/>
    <w:rsid w:val="6CE626D3"/>
    <w:rsid w:val="6CED1CB3"/>
    <w:rsid w:val="6CEE73B5"/>
    <w:rsid w:val="6D056FFD"/>
    <w:rsid w:val="6D0F39D8"/>
    <w:rsid w:val="6D1622F5"/>
    <w:rsid w:val="6D3545C1"/>
    <w:rsid w:val="6D401DE3"/>
    <w:rsid w:val="6D413DAD"/>
    <w:rsid w:val="6D5238C5"/>
    <w:rsid w:val="6D527D69"/>
    <w:rsid w:val="6D7777CF"/>
    <w:rsid w:val="6D806684"/>
    <w:rsid w:val="6D8C40C6"/>
    <w:rsid w:val="6D9B34BE"/>
    <w:rsid w:val="6DA87988"/>
    <w:rsid w:val="6DE309C1"/>
    <w:rsid w:val="6E041063"/>
    <w:rsid w:val="6E1F40EF"/>
    <w:rsid w:val="6E2711F5"/>
    <w:rsid w:val="6E6935BC"/>
    <w:rsid w:val="6E753D0F"/>
    <w:rsid w:val="6E7C509D"/>
    <w:rsid w:val="6EBF142E"/>
    <w:rsid w:val="6EDC1FE0"/>
    <w:rsid w:val="6EE214EB"/>
    <w:rsid w:val="6EEE3AC1"/>
    <w:rsid w:val="6F065E65"/>
    <w:rsid w:val="6F196719"/>
    <w:rsid w:val="6F2B6AC3"/>
    <w:rsid w:val="6F3F60CB"/>
    <w:rsid w:val="6F635077"/>
    <w:rsid w:val="6F810491"/>
    <w:rsid w:val="6F857F81"/>
    <w:rsid w:val="6F8A1A3C"/>
    <w:rsid w:val="6F9D20C1"/>
    <w:rsid w:val="6FA83C70"/>
    <w:rsid w:val="6FBB1BF5"/>
    <w:rsid w:val="6FF2313D"/>
    <w:rsid w:val="70052E70"/>
    <w:rsid w:val="70082960"/>
    <w:rsid w:val="700E23C0"/>
    <w:rsid w:val="701B6B38"/>
    <w:rsid w:val="705A7660"/>
    <w:rsid w:val="706240D6"/>
    <w:rsid w:val="706E310B"/>
    <w:rsid w:val="7075449A"/>
    <w:rsid w:val="707B75D6"/>
    <w:rsid w:val="70D34D1C"/>
    <w:rsid w:val="71015D2D"/>
    <w:rsid w:val="71092E34"/>
    <w:rsid w:val="710E21F8"/>
    <w:rsid w:val="711C4915"/>
    <w:rsid w:val="711E68DF"/>
    <w:rsid w:val="715E5B86"/>
    <w:rsid w:val="715F4802"/>
    <w:rsid w:val="716342F2"/>
    <w:rsid w:val="71793B16"/>
    <w:rsid w:val="71922E29"/>
    <w:rsid w:val="71A60683"/>
    <w:rsid w:val="71B40FF2"/>
    <w:rsid w:val="71C07997"/>
    <w:rsid w:val="71ED0060"/>
    <w:rsid w:val="71F118FE"/>
    <w:rsid w:val="721101F2"/>
    <w:rsid w:val="721D0945"/>
    <w:rsid w:val="721D4CCB"/>
    <w:rsid w:val="72200254"/>
    <w:rsid w:val="722A4E10"/>
    <w:rsid w:val="723D0FE7"/>
    <w:rsid w:val="72616D2E"/>
    <w:rsid w:val="72D51220"/>
    <w:rsid w:val="72F0605A"/>
    <w:rsid w:val="73041B05"/>
    <w:rsid w:val="731C0BFD"/>
    <w:rsid w:val="73661E78"/>
    <w:rsid w:val="7372081D"/>
    <w:rsid w:val="73B21561"/>
    <w:rsid w:val="73B9469D"/>
    <w:rsid w:val="73E536E4"/>
    <w:rsid w:val="73ED2599"/>
    <w:rsid w:val="73ED4347"/>
    <w:rsid w:val="7400051E"/>
    <w:rsid w:val="74017DF2"/>
    <w:rsid w:val="740A4EF9"/>
    <w:rsid w:val="74284CD2"/>
    <w:rsid w:val="74343D24"/>
    <w:rsid w:val="74344EA2"/>
    <w:rsid w:val="743957DE"/>
    <w:rsid w:val="74415DDE"/>
    <w:rsid w:val="744A3547"/>
    <w:rsid w:val="74534AF2"/>
    <w:rsid w:val="74FF4332"/>
    <w:rsid w:val="75183646"/>
    <w:rsid w:val="751A73BE"/>
    <w:rsid w:val="7530273D"/>
    <w:rsid w:val="75322959"/>
    <w:rsid w:val="753F5076"/>
    <w:rsid w:val="754461E9"/>
    <w:rsid w:val="75512EAE"/>
    <w:rsid w:val="755F3023"/>
    <w:rsid w:val="7578547E"/>
    <w:rsid w:val="7589009F"/>
    <w:rsid w:val="75D25EEA"/>
    <w:rsid w:val="75DA6B4D"/>
    <w:rsid w:val="75F34936"/>
    <w:rsid w:val="762D3121"/>
    <w:rsid w:val="76452218"/>
    <w:rsid w:val="764D731F"/>
    <w:rsid w:val="765406AD"/>
    <w:rsid w:val="76595CC4"/>
    <w:rsid w:val="76876225"/>
    <w:rsid w:val="76AF1D88"/>
    <w:rsid w:val="76B31878"/>
    <w:rsid w:val="76B949B4"/>
    <w:rsid w:val="76BD26F7"/>
    <w:rsid w:val="76EA266A"/>
    <w:rsid w:val="77100A78"/>
    <w:rsid w:val="77304C77"/>
    <w:rsid w:val="774150D6"/>
    <w:rsid w:val="774249AA"/>
    <w:rsid w:val="774626EC"/>
    <w:rsid w:val="776E39F1"/>
    <w:rsid w:val="77702401"/>
    <w:rsid w:val="77925AFD"/>
    <w:rsid w:val="77B51620"/>
    <w:rsid w:val="77B5517C"/>
    <w:rsid w:val="77B91110"/>
    <w:rsid w:val="77BF249E"/>
    <w:rsid w:val="77C47AB5"/>
    <w:rsid w:val="77D575CC"/>
    <w:rsid w:val="77D73344"/>
    <w:rsid w:val="77D93560"/>
    <w:rsid w:val="77F9775E"/>
    <w:rsid w:val="784D1858"/>
    <w:rsid w:val="787D038F"/>
    <w:rsid w:val="78857244"/>
    <w:rsid w:val="78882890"/>
    <w:rsid w:val="78986F77"/>
    <w:rsid w:val="78B47B29"/>
    <w:rsid w:val="78BB7B28"/>
    <w:rsid w:val="78C25DA2"/>
    <w:rsid w:val="78E026CC"/>
    <w:rsid w:val="78EB3337"/>
    <w:rsid w:val="792151BF"/>
    <w:rsid w:val="793547C6"/>
    <w:rsid w:val="793D367B"/>
    <w:rsid w:val="79404F19"/>
    <w:rsid w:val="794C1B10"/>
    <w:rsid w:val="798B6ADC"/>
    <w:rsid w:val="799314ED"/>
    <w:rsid w:val="799C4845"/>
    <w:rsid w:val="79B06543"/>
    <w:rsid w:val="79B55907"/>
    <w:rsid w:val="79BC0A44"/>
    <w:rsid w:val="79DC10E6"/>
    <w:rsid w:val="7A6335B5"/>
    <w:rsid w:val="7A88301C"/>
    <w:rsid w:val="7A8A6D94"/>
    <w:rsid w:val="7A8F7F06"/>
    <w:rsid w:val="7A9279F6"/>
    <w:rsid w:val="7AC73B44"/>
    <w:rsid w:val="7AD324E9"/>
    <w:rsid w:val="7ADE5D1E"/>
    <w:rsid w:val="7AFD49C5"/>
    <w:rsid w:val="7B034450"/>
    <w:rsid w:val="7B1B79EC"/>
    <w:rsid w:val="7B4038F6"/>
    <w:rsid w:val="7B452CBB"/>
    <w:rsid w:val="7B735A7A"/>
    <w:rsid w:val="7B851309"/>
    <w:rsid w:val="7B8B2DC3"/>
    <w:rsid w:val="7BAF7B63"/>
    <w:rsid w:val="7BB37C24"/>
    <w:rsid w:val="7BB73BB8"/>
    <w:rsid w:val="7BC10593"/>
    <w:rsid w:val="7BCB7664"/>
    <w:rsid w:val="7BD858DD"/>
    <w:rsid w:val="7BEB3862"/>
    <w:rsid w:val="7BEB5610"/>
    <w:rsid w:val="7BED75DA"/>
    <w:rsid w:val="7BF70459"/>
    <w:rsid w:val="7BF87D2D"/>
    <w:rsid w:val="7BFC15CB"/>
    <w:rsid w:val="7BFD3595"/>
    <w:rsid w:val="7C06069C"/>
    <w:rsid w:val="7C240B22"/>
    <w:rsid w:val="7C3C5E6C"/>
    <w:rsid w:val="7C507B69"/>
    <w:rsid w:val="7C5C650E"/>
    <w:rsid w:val="7C7D2B0E"/>
    <w:rsid w:val="7C8415C1"/>
    <w:rsid w:val="7C8E41ED"/>
    <w:rsid w:val="7C8F68E3"/>
    <w:rsid w:val="7CB65C1E"/>
    <w:rsid w:val="7CB93960"/>
    <w:rsid w:val="7CBE2D25"/>
    <w:rsid w:val="7CE3278B"/>
    <w:rsid w:val="7CE54755"/>
    <w:rsid w:val="7CEF5ED1"/>
    <w:rsid w:val="7D1868D9"/>
    <w:rsid w:val="7D60202E"/>
    <w:rsid w:val="7D87580C"/>
    <w:rsid w:val="7D8C2E23"/>
    <w:rsid w:val="7D9D6E24"/>
    <w:rsid w:val="7DBC6E88"/>
    <w:rsid w:val="7DC0487A"/>
    <w:rsid w:val="7DCE51E9"/>
    <w:rsid w:val="7DEC38C1"/>
    <w:rsid w:val="7E154BC6"/>
    <w:rsid w:val="7E290672"/>
    <w:rsid w:val="7E486D4A"/>
    <w:rsid w:val="7E525E1A"/>
    <w:rsid w:val="7E6E2528"/>
    <w:rsid w:val="7E7318ED"/>
    <w:rsid w:val="7E843AFA"/>
    <w:rsid w:val="7EA877E8"/>
    <w:rsid w:val="7ECF746B"/>
    <w:rsid w:val="7ED24865"/>
    <w:rsid w:val="7EFE565A"/>
    <w:rsid w:val="7F1B445E"/>
    <w:rsid w:val="7F343772"/>
    <w:rsid w:val="7F67412D"/>
    <w:rsid w:val="7F74591C"/>
    <w:rsid w:val="7F8042C1"/>
    <w:rsid w:val="7F8A15E4"/>
    <w:rsid w:val="7FA2248A"/>
    <w:rsid w:val="7FAC33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Courier New" w:hAnsi="Courier New" w:eastAsia="仿宋" w:cs="Courier New"/>
      <w:color w:val="000000"/>
      <w:sz w:val="30"/>
      <w:szCs w:val="24"/>
      <w:lang w:val="zh-TW"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pPr>
      <w:spacing w:line="240" w:lineRule="auto"/>
    </w:pPr>
    <w:rPr>
      <w:sz w:val="18"/>
      <w:szCs w:val="18"/>
    </w:rPr>
  </w:style>
  <w:style w:type="paragraph" w:styleId="3">
    <w:name w:val="footer"/>
    <w:basedOn w:val="1"/>
    <w:link w:val="10"/>
    <w:unhideWhenUsed/>
    <w:qFormat/>
    <w:uiPriority w:val="99"/>
    <w:pPr>
      <w:tabs>
        <w:tab w:val="center" w:pos="4153"/>
        <w:tab w:val="right" w:pos="8306"/>
      </w:tabs>
      <w:snapToGrid w:val="0"/>
      <w:spacing w:line="240" w:lineRule="auto"/>
      <w:ind w:firstLine="0" w:firstLineChars="0"/>
    </w:pPr>
    <w:rPr>
      <w:rFonts w:asciiTheme="minorHAnsi" w:hAnsiTheme="minorHAnsi" w:eastAsiaTheme="minorEastAsia" w:cstheme="minorBidi"/>
      <w:color w:val="auto"/>
      <w:kern w:val="2"/>
      <w:sz w:val="18"/>
      <w:szCs w:val="18"/>
      <w:lang w:val="en-US"/>
    </w:rPr>
  </w:style>
  <w:style w:type="paragraph" w:styleId="4">
    <w:name w:val="header"/>
    <w:basedOn w:val="1"/>
    <w:link w:val="9"/>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cstheme="minorBidi"/>
      <w:color w:val="auto"/>
      <w:kern w:val="2"/>
      <w:sz w:val="18"/>
      <w:szCs w:val="18"/>
      <w:lang w:val="en-US"/>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rFonts w:ascii="Courier New" w:hAnsi="Courier New" w:eastAsia="仿宋" w:cs="Courier New"/>
      <w:color w:val="000000"/>
      <w:kern w:val="0"/>
      <w:sz w:val="18"/>
      <w:szCs w:val="18"/>
      <w:lang w:val="zh-TW"/>
    </w:rPr>
  </w:style>
  <w:style w:type="character" w:customStyle="1" w:styleId="12">
    <w:name w:val="Heading #2_"/>
    <w:basedOn w:val="7"/>
    <w:link w:val="13"/>
    <w:qFormat/>
    <w:uiPriority w:val="0"/>
    <w:rPr>
      <w:rFonts w:ascii="MingLiU" w:hAnsi="MingLiU" w:eastAsia="MingLiU" w:cs="MingLiU"/>
      <w:sz w:val="18"/>
      <w:szCs w:val="18"/>
      <w:shd w:val="clear" w:color="auto" w:fill="FFFFFF"/>
    </w:rPr>
  </w:style>
  <w:style w:type="paragraph" w:customStyle="1" w:styleId="13">
    <w:name w:val="Heading #2"/>
    <w:basedOn w:val="1"/>
    <w:link w:val="12"/>
    <w:qFormat/>
    <w:uiPriority w:val="0"/>
    <w:pPr>
      <w:shd w:val="clear" w:color="auto" w:fill="FFFFFF"/>
      <w:spacing w:after="240" w:line="0" w:lineRule="atLeast"/>
      <w:jc w:val="center"/>
      <w:outlineLvl w:val="1"/>
    </w:pPr>
    <w:rPr>
      <w:rFonts w:ascii="MingLiU" w:hAnsi="MingLiU" w:eastAsia="MingLiU" w:cs="MingLiU"/>
      <w:color w:val="auto"/>
      <w:kern w:val="2"/>
      <w:sz w:val="18"/>
      <w:szCs w:val="18"/>
      <w:lang w:val="en-US"/>
    </w:rPr>
  </w:style>
  <w:style w:type="character" w:customStyle="1" w:styleId="14">
    <w:name w:val="Body text_"/>
    <w:basedOn w:val="7"/>
    <w:link w:val="15"/>
    <w:qFormat/>
    <w:uiPriority w:val="0"/>
    <w:rPr>
      <w:rFonts w:ascii="MingLiU" w:hAnsi="MingLiU" w:eastAsia="MingLiU" w:cs="MingLiU"/>
      <w:sz w:val="13"/>
      <w:szCs w:val="13"/>
      <w:shd w:val="clear" w:color="auto" w:fill="FFFFFF"/>
    </w:rPr>
  </w:style>
  <w:style w:type="paragraph" w:customStyle="1" w:styleId="15">
    <w:name w:val="正文文本3"/>
    <w:basedOn w:val="1"/>
    <w:link w:val="14"/>
    <w:qFormat/>
    <w:uiPriority w:val="0"/>
    <w:pPr>
      <w:shd w:val="clear" w:color="auto" w:fill="FFFFFF"/>
      <w:spacing w:before="240" w:line="233" w:lineRule="exact"/>
      <w:ind w:hanging="540"/>
      <w:jc w:val="distribute"/>
    </w:pPr>
    <w:rPr>
      <w:rFonts w:ascii="MingLiU" w:hAnsi="MingLiU" w:eastAsia="MingLiU" w:cs="MingLiU"/>
      <w:color w:val="auto"/>
      <w:kern w:val="2"/>
      <w:sz w:val="13"/>
      <w:szCs w:val="13"/>
      <w:lang w:val="en-US"/>
    </w:rPr>
  </w:style>
  <w:style w:type="character" w:customStyle="1" w:styleId="16">
    <w:name w:val="Body text + Batang"/>
    <w:basedOn w:val="14"/>
    <w:qFormat/>
    <w:uiPriority w:val="0"/>
    <w:rPr>
      <w:rFonts w:ascii="Batang" w:hAnsi="Batang" w:eastAsia="Batang" w:cs="Batang"/>
      <w:color w:val="000000"/>
      <w:spacing w:val="-10"/>
      <w:w w:val="100"/>
      <w:position w:val="0"/>
      <w:sz w:val="13"/>
      <w:szCs w:val="13"/>
      <w:shd w:val="clear" w:color="auto" w:fill="FFFFFF"/>
      <w:lang w:val="en-US"/>
    </w:rPr>
  </w:style>
  <w:style w:type="character" w:customStyle="1" w:styleId="17">
    <w:name w:val="Body text (2)_"/>
    <w:basedOn w:val="7"/>
    <w:link w:val="18"/>
    <w:qFormat/>
    <w:uiPriority w:val="0"/>
    <w:rPr>
      <w:rFonts w:ascii="MingLiU" w:hAnsi="MingLiU" w:eastAsia="MingLiU" w:cs="MingLiU"/>
      <w:sz w:val="18"/>
      <w:szCs w:val="18"/>
      <w:shd w:val="clear" w:color="auto" w:fill="FFFFFF"/>
    </w:rPr>
  </w:style>
  <w:style w:type="paragraph" w:customStyle="1" w:styleId="18">
    <w:name w:val="Body text (2)"/>
    <w:basedOn w:val="1"/>
    <w:link w:val="17"/>
    <w:qFormat/>
    <w:uiPriority w:val="0"/>
    <w:pPr>
      <w:shd w:val="clear" w:color="auto" w:fill="FFFFFF"/>
      <w:spacing w:after="300" w:line="0" w:lineRule="atLeast"/>
      <w:ind w:hanging="320"/>
      <w:jc w:val="center"/>
    </w:pPr>
    <w:rPr>
      <w:rFonts w:ascii="MingLiU" w:hAnsi="MingLiU" w:eastAsia="MingLiU" w:cs="MingLiU"/>
      <w:color w:val="auto"/>
      <w:kern w:val="2"/>
      <w:sz w:val="18"/>
      <w:szCs w:val="18"/>
      <w:lang w:val="en-US"/>
    </w:rPr>
  </w:style>
  <w:style w:type="character" w:customStyle="1" w:styleId="19">
    <w:name w:val="Body text (4)_"/>
    <w:basedOn w:val="7"/>
    <w:link w:val="20"/>
    <w:qFormat/>
    <w:uiPriority w:val="0"/>
    <w:rPr>
      <w:rFonts w:ascii="MingLiU" w:hAnsi="MingLiU" w:eastAsia="MingLiU" w:cs="MingLiU"/>
      <w:sz w:val="18"/>
      <w:szCs w:val="18"/>
      <w:shd w:val="clear" w:color="auto" w:fill="FFFFFF"/>
    </w:rPr>
  </w:style>
  <w:style w:type="paragraph" w:customStyle="1" w:styleId="20">
    <w:name w:val="Body text (4)"/>
    <w:basedOn w:val="1"/>
    <w:link w:val="19"/>
    <w:qFormat/>
    <w:uiPriority w:val="0"/>
    <w:pPr>
      <w:shd w:val="clear" w:color="auto" w:fill="FFFFFF"/>
      <w:spacing w:before="240" w:after="240" w:line="0" w:lineRule="atLeast"/>
      <w:jc w:val="center"/>
    </w:pPr>
    <w:rPr>
      <w:rFonts w:ascii="MingLiU" w:hAnsi="MingLiU" w:eastAsia="MingLiU" w:cs="MingLiU"/>
      <w:color w:val="auto"/>
      <w:kern w:val="2"/>
      <w:sz w:val="18"/>
      <w:szCs w:val="18"/>
      <w:lang w:val="en-US"/>
    </w:rPr>
  </w:style>
  <w:style w:type="character" w:customStyle="1" w:styleId="21">
    <w:name w:val="Body text (4) + Spacing 5 pt"/>
    <w:basedOn w:val="19"/>
    <w:qFormat/>
    <w:uiPriority w:val="0"/>
    <w:rPr>
      <w:rFonts w:ascii="MingLiU" w:hAnsi="MingLiU" w:eastAsia="MingLiU" w:cs="MingLiU"/>
      <w:color w:val="000000"/>
      <w:spacing w:val="100"/>
      <w:w w:val="100"/>
      <w:position w:val="0"/>
      <w:sz w:val="18"/>
      <w:szCs w:val="18"/>
      <w:shd w:val="clear" w:color="auto" w:fill="FFFFFF"/>
      <w:lang w:val="zh-TW"/>
    </w:rPr>
  </w:style>
  <w:style w:type="character" w:customStyle="1" w:styleId="22">
    <w:name w:val="Body text (5)_"/>
    <w:basedOn w:val="7"/>
    <w:link w:val="23"/>
    <w:qFormat/>
    <w:uiPriority w:val="0"/>
    <w:rPr>
      <w:rFonts w:ascii="MingLiU" w:hAnsi="MingLiU" w:eastAsia="MingLiU" w:cs="MingLiU"/>
      <w:b/>
      <w:bCs/>
      <w:sz w:val="14"/>
      <w:szCs w:val="14"/>
      <w:shd w:val="clear" w:color="auto" w:fill="FFFFFF"/>
    </w:rPr>
  </w:style>
  <w:style w:type="paragraph" w:customStyle="1" w:styleId="23">
    <w:name w:val="Body text (5)"/>
    <w:basedOn w:val="1"/>
    <w:link w:val="22"/>
    <w:qFormat/>
    <w:uiPriority w:val="0"/>
    <w:pPr>
      <w:shd w:val="clear" w:color="auto" w:fill="FFFFFF"/>
      <w:spacing w:before="180" w:line="245" w:lineRule="exact"/>
      <w:ind w:hanging="300"/>
    </w:pPr>
    <w:rPr>
      <w:rFonts w:ascii="MingLiU" w:hAnsi="MingLiU" w:eastAsia="MingLiU" w:cs="MingLiU"/>
      <w:b/>
      <w:bCs/>
      <w:color w:val="auto"/>
      <w:kern w:val="2"/>
      <w:sz w:val="14"/>
      <w:szCs w:val="14"/>
      <w:lang w:val="en-US"/>
    </w:rPr>
  </w:style>
  <w:style w:type="character" w:customStyle="1" w:styleId="24">
    <w:name w:val="Body text (3)_"/>
    <w:basedOn w:val="7"/>
    <w:link w:val="25"/>
    <w:qFormat/>
    <w:uiPriority w:val="0"/>
    <w:rPr>
      <w:rFonts w:ascii="Constantia" w:hAnsi="Constantia" w:eastAsia="Constantia" w:cs="Constantia"/>
      <w:sz w:val="11"/>
      <w:szCs w:val="11"/>
      <w:shd w:val="clear" w:color="auto" w:fill="FFFFFF"/>
    </w:rPr>
  </w:style>
  <w:style w:type="paragraph" w:customStyle="1" w:styleId="25">
    <w:name w:val="Body text (3)"/>
    <w:basedOn w:val="1"/>
    <w:link w:val="24"/>
    <w:qFormat/>
    <w:uiPriority w:val="0"/>
    <w:pPr>
      <w:shd w:val="clear" w:color="auto" w:fill="FFFFFF"/>
      <w:spacing w:after="60" w:line="0" w:lineRule="atLeast"/>
      <w:jc w:val="both"/>
    </w:pPr>
    <w:rPr>
      <w:rFonts w:ascii="Constantia" w:hAnsi="Constantia" w:eastAsia="Constantia" w:cs="Constantia"/>
      <w:color w:val="auto"/>
      <w:kern w:val="2"/>
      <w:sz w:val="11"/>
      <w:szCs w:val="11"/>
      <w:lang w:val="en-US"/>
    </w:rPr>
  </w:style>
  <w:style w:type="character" w:customStyle="1" w:styleId="26">
    <w:name w:val="Body text (6)_"/>
    <w:basedOn w:val="7"/>
    <w:link w:val="27"/>
    <w:qFormat/>
    <w:uiPriority w:val="0"/>
    <w:rPr>
      <w:rFonts w:ascii="MingLiU" w:hAnsi="MingLiU" w:eastAsia="MingLiU" w:cs="MingLiU"/>
      <w:b/>
      <w:bCs/>
      <w:sz w:val="13"/>
      <w:szCs w:val="13"/>
      <w:shd w:val="clear" w:color="auto" w:fill="FFFFFF"/>
    </w:rPr>
  </w:style>
  <w:style w:type="paragraph" w:customStyle="1" w:styleId="27">
    <w:name w:val="Body text (6)"/>
    <w:basedOn w:val="1"/>
    <w:link w:val="26"/>
    <w:qFormat/>
    <w:uiPriority w:val="0"/>
    <w:pPr>
      <w:shd w:val="clear" w:color="auto" w:fill="FFFFFF"/>
      <w:spacing w:before="180" w:line="226" w:lineRule="exact"/>
      <w:ind w:hanging="280"/>
      <w:jc w:val="distribute"/>
    </w:pPr>
    <w:rPr>
      <w:rFonts w:ascii="MingLiU" w:hAnsi="MingLiU" w:eastAsia="MingLiU" w:cs="MingLiU"/>
      <w:b/>
      <w:bCs/>
      <w:color w:val="auto"/>
      <w:kern w:val="2"/>
      <w:sz w:val="13"/>
      <w:szCs w:val="13"/>
      <w:lang w:val="en-US"/>
    </w:rPr>
  </w:style>
  <w:style w:type="character" w:customStyle="1" w:styleId="28">
    <w:name w:val="Body text + CordiaUPC"/>
    <w:basedOn w:val="14"/>
    <w:qFormat/>
    <w:uiPriority w:val="0"/>
    <w:rPr>
      <w:rFonts w:ascii="CordiaUPC" w:hAnsi="CordiaUPC" w:eastAsia="CordiaUPC" w:cs="CordiaUPC"/>
      <w:b/>
      <w:bCs/>
      <w:color w:val="000000"/>
      <w:spacing w:val="0"/>
      <w:w w:val="100"/>
      <w:position w:val="0"/>
      <w:sz w:val="72"/>
      <w:szCs w:val="72"/>
      <w:u w:val="none"/>
      <w:shd w:val="clear" w:color="auto" w:fill="FFFFFF"/>
    </w:rPr>
  </w:style>
  <w:style w:type="character" w:customStyle="1" w:styleId="29">
    <w:name w:val="Body text + 8 pt"/>
    <w:basedOn w:val="14"/>
    <w:qFormat/>
    <w:uiPriority w:val="0"/>
    <w:rPr>
      <w:rFonts w:ascii="MingLiU" w:hAnsi="MingLiU" w:eastAsia="MingLiU" w:cs="MingLiU"/>
      <w:color w:val="000000"/>
      <w:spacing w:val="0"/>
      <w:w w:val="100"/>
      <w:position w:val="0"/>
      <w:sz w:val="16"/>
      <w:szCs w:val="16"/>
      <w:u w:val="none"/>
      <w:shd w:val="clear" w:color="auto" w:fill="FFFFFF"/>
    </w:rPr>
  </w:style>
  <w:style w:type="paragraph" w:styleId="30">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8</Pages>
  <Words>5063</Words>
  <Characters>5251</Characters>
  <Lines>47</Lines>
  <Paragraphs>13</Paragraphs>
  <TotalTime>1</TotalTime>
  <ScaleCrop>false</ScaleCrop>
  <LinksUpToDate>false</LinksUpToDate>
  <CharactersWithSpaces>5262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2017-12-08T14:24:00Z</dcterms:created>
  <dc:creator>Lenovo</dc:creator>
  <cp:lastModifiedBy>lenovo</cp:lastModifiedBy>
  <cp:lastPrinted>2022-08-31T02:20:00Z</cp:lastPrinted>
  <dcterms:modified xsi:type="dcterms:W3CDTF">2022-09-01T05:47:41Z</dcterms:modified>
  <cp:revision>613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15894917C62D434B824407B3E5F52AE8</vt:lpwstr>
  </property>
</Properties>
</file>